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8B9B1A">
      <w:pPr>
        <w:bidi w:val="0"/>
        <w:rPr>
          <w:rFonts w:hint="eastAsia"/>
        </w:rPr>
      </w:pPr>
      <w:bookmarkStart w:id="0" w:name="_Toc13547"/>
      <w:bookmarkStart w:id="1" w:name="_Toc524624667"/>
    </w:p>
    <w:p w14:paraId="179E3C70">
      <w:pPr>
        <w:bidi w:val="0"/>
        <w:spacing w:line="240" w:lineRule="auto"/>
        <w:jc w:val="center"/>
        <w:rPr>
          <w:rFonts w:hint="eastAsia"/>
          <w:b/>
          <w:bCs/>
          <w:sz w:val="36"/>
          <w:szCs w:val="36"/>
        </w:rPr>
      </w:pPr>
      <w:r>
        <w:rPr>
          <w:rFonts w:hint="eastAsia"/>
          <w:b/>
          <w:bCs/>
          <w:sz w:val="36"/>
          <w:szCs w:val="36"/>
        </w:rPr>
        <w:t>长春建筑学院</w:t>
      </w:r>
      <w:bookmarkEnd w:id="0"/>
      <w:bookmarkStart w:id="2" w:name="_Toc20268"/>
      <w:bookmarkStart w:id="3" w:name="_Toc18997"/>
    </w:p>
    <w:p w14:paraId="4B23210F">
      <w:pPr>
        <w:bidi w:val="0"/>
        <w:spacing w:line="240" w:lineRule="auto"/>
        <w:jc w:val="center"/>
        <w:rPr>
          <w:rFonts w:hint="eastAsia"/>
          <w:b/>
          <w:bCs/>
          <w:sz w:val="36"/>
          <w:szCs w:val="36"/>
        </w:rPr>
      </w:pPr>
      <w:r>
        <w:rPr>
          <w:rFonts w:hint="eastAsia"/>
          <w:b/>
          <w:bCs/>
          <w:sz w:val="36"/>
          <w:szCs w:val="36"/>
        </w:rPr>
        <w:t>本科生毕业论文查重检测工作管理办法</w:t>
      </w:r>
      <w:bookmarkEnd w:id="1"/>
      <w:bookmarkEnd w:id="2"/>
      <w:bookmarkEnd w:id="3"/>
    </w:p>
    <w:p w14:paraId="2CD063D6">
      <w:pPr>
        <w:bidi w:val="0"/>
        <w:spacing w:line="240" w:lineRule="auto"/>
        <w:jc w:val="center"/>
        <w:rPr>
          <w:rFonts w:hint="eastAsia" w:ascii="楷体" w:hAnsi="楷体" w:eastAsia="楷体" w:cs="楷体"/>
          <w:b/>
          <w:bCs/>
          <w:sz w:val="28"/>
          <w:szCs w:val="28"/>
          <w:lang w:eastAsia="zh-CN"/>
        </w:rPr>
      </w:pPr>
      <w:r>
        <w:rPr>
          <w:rFonts w:hint="eastAsia" w:ascii="楷体" w:hAnsi="楷体" w:eastAsia="楷体" w:cs="楷体"/>
          <w:b/>
          <w:bCs/>
          <w:sz w:val="28"/>
          <w:szCs w:val="28"/>
          <w:lang w:eastAsia="zh-CN"/>
        </w:rPr>
        <w:t>（修订版）</w:t>
      </w:r>
    </w:p>
    <w:p w14:paraId="7A1B3CBB">
      <w:pPr>
        <w:spacing w:line="400" w:lineRule="exact"/>
        <w:rPr>
          <w:rFonts w:ascii="宋体" w:hAnsi="宋体"/>
          <w:sz w:val="36"/>
          <w:szCs w:val="36"/>
        </w:rPr>
      </w:pPr>
    </w:p>
    <w:p w14:paraId="1C313CF6">
      <w:pPr>
        <w:spacing w:line="400" w:lineRule="exact"/>
        <w:ind w:firstLine="560" w:firstLineChars="200"/>
        <w:rPr>
          <w:rFonts w:hint="eastAsia" w:ascii="宋体" w:hAnsi="宋体" w:cs="仿宋"/>
          <w:sz w:val="28"/>
          <w:szCs w:val="28"/>
        </w:rPr>
      </w:pPr>
      <w:r>
        <w:rPr>
          <w:rFonts w:hint="eastAsia" w:ascii="宋体" w:hAnsi="宋体" w:cs="仿宋"/>
          <w:sz w:val="28"/>
          <w:szCs w:val="28"/>
        </w:rPr>
        <w:t>为认真贯彻《国务院学位委员会关于在学位授予工作中加强学术道德和学术规范建设的意见》（学位[2010]9号）和《学位论文作假行为处理办法》（教育部令第34号，2013年1月1日起施行）的文件精神，进一步提高我校本科生毕业论文（设计）质量，加强学术道德和学风建设，规范学术行为，杜绝学生在撰写毕业论文（设计）过程中抄袭、拷贝等学术不端行为的发生，特制定本管理办法。</w:t>
      </w:r>
    </w:p>
    <w:p w14:paraId="12C0AB17">
      <w:pPr>
        <w:spacing w:line="40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一、工作要求</w:t>
      </w:r>
    </w:p>
    <w:p w14:paraId="662A41A1">
      <w:pPr>
        <w:spacing w:line="400" w:lineRule="exact"/>
        <w:ind w:firstLine="560" w:firstLineChars="200"/>
        <w:rPr>
          <w:rFonts w:hint="eastAsia" w:ascii="宋体" w:hAnsi="宋体" w:cs="仿宋"/>
          <w:sz w:val="28"/>
          <w:szCs w:val="28"/>
        </w:rPr>
      </w:pPr>
      <w:r>
        <w:rPr>
          <w:rFonts w:hint="eastAsia" w:ascii="宋体" w:hAnsi="宋体" w:cs="仿宋"/>
          <w:sz w:val="28"/>
          <w:szCs w:val="28"/>
        </w:rPr>
        <w:t>1.查重的时间由教务处规定，学院教学副院长为查重工作主管领导，学院教学秘书为学院管理员。</w:t>
      </w:r>
    </w:p>
    <w:p w14:paraId="10AF0079">
      <w:pPr>
        <w:spacing w:line="400" w:lineRule="exact"/>
        <w:ind w:firstLine="560" w:firstLineChars="200"/>
        <w:rPr>
          <w:rFonts w:hint="eastAsia" w:ascii="宋体" w:hAnsi="宋体" w:cs="仿宋"/>
          <w:color w:val="auto"/>
          <w:sz w:val="28"/>
          <w:szCs w:val="28"/>
          <w:lang w:eastAsia="zh-CN"/>
        </w:rPr>
      </w:pPr>
      <w:r>
        <w:rPr>
          <w:rFonts w:hint="eastAsia" w:ascii="宋体" w:hAnsi="宋体" w:cs="仿宋"/>
          <w:color w:val="auto"/>
          <w:sz w:val="28"/>
          <w:szCs w:val="28"/>
        </w:rPr>
        <w:t>2.</w:t>
      </w:r>
      <w:r>
        <w:rPr>
          <w:rFonts w:hint="eastAsia" w:ascii="宋体" w:hAnsi="宋体" w:cs="仿宋"/>
          <w:color w:val="auto"/>
          <w:sz w:val="28"/>
          <w:szCs w:val="28"/>
          <w:lang w:eastAsia="zh-CN"/>
        </w:rPr>
        <w:t>查重范围为所有本科生毕业论文、毕业设计的计算书、说明书及其他文字材料。</w:t>
      </w:r>
    </w:p>
    <w:p w14:paraId="59D14931">
      <w:pPr>
        <w:spacing w:line="400" w:lineRule="exact"/>
        <w:ind w:firstLine="560" w:firstLineChars="200"/>
        <w:rPr>
          <w:rFonts w:hint="eastAsia" w:ascii="宋体" w:hAnsi="宋体" w:cs="仿宋"/>
          <w:color w:val="auto"/>
          <w:sz w:val="28"/>
          <w:szCs w:val="28"/>
        </w:rPr>
      </w:pPr>
      <w:r>
        <w:rPr>
          <w:rFonts w:hint="eastAsia" w:ascii="宋体" w:hAnsi="宋体" w:cs="仿宋"/>
          <w:color w:val="auto"/>
          <w:sz w:val="28"/>
          <w:szCs w:val="28"/>
          <w:lang w:val="en-US" w:eastAsia="zh-CN"/>
        </w:rPr>
        <w:t>3.</w:t>
      </w:r>
      <w:r>
        <w:rPr>
          <w:rFonts w:hint="eastAsia" w:ascii="宋体" w:hAnsi="宋体" w:cs="仿宋"/>
          <w:color w:val="auto"/>
          <w:sz w:val="28"/>
          <w:szCs w:val="28"/>
        </w:rPr>
        <w:t>在毕业生进行答辩之前，学校组织查重</w:t>
      </w:r>
      <w:r>
        <w:rPr>
          <w:rFonts w:hint="eastAsia" w:ascii="宋体" w:hAnsi="宋体" w:cs="仿宋"/>
          <w:color w:val="auto"/>
          <w:sz w:val="28"/>
          <w:szCs w:val="28"/>
          <w:lang w:eastAsia="zh-CN"/>
        </w:rPr>
        <w:t>检测</w:t>
      </w:r>
      <w:r>
        <w:rPr>
          <w:rFonts w:hint="eastAsia" w:ascii="宋体" w:hAnsi="宋体" w:cs="仿宋"/>
          <w:color w:val="auto"/>
          <w:sz w:val="28"/>
          <w:szCs w:val="28"/>
        </w:rPr>
        <w:t>，若查重未达到学校要求，按规定取消答辩资格并需填写《长春建筑学院取消答辩资格通知书》。</w:t>
      </w:r>
    </w:p>
    <w:p w14:paraId="048EAF6C">
      <w:pPr>
        <w:spacing w:line="400" w:lineRule="exact"/>
        <w:ind w:firstLine="560" w:firstLineChars="200"/>
        <w:rPr>
          <w:rFonts w:hint="eastAsia" w:ascii="宋体" w:hAnsi="宋体" w:cs="仿宋"/>
          <w:color w:val="auto"/>
          <w:sz w:val="28"/>
          <w:szCs w:val="28"/>
        </w:rPr>
      </w:pPr>
      <w:r>
        <w:rPr>
          <w:rFonts w:hint="eastAsia" w:ascii="宋体" w:hAnsi="宋体" w:cs="仿宋"/>
          <w:color w:val="auto"/>
          <w:sz w:val="28"/>
          <w:szCs w:val="28"/>
          <w:lang w:val="en-US" w:eastAsia="zh-CN"/>
        </w:rPr>
        <w:t>4</w:t>
      </w:r>
      <w:r>
        <w:rPr>
          <w:rFonts w:hint="eastAsia" w:ascii="宋体" w:hAnsi="宋体" w:cs="仿宋"/>
          <w:color w:val="auto"/>
          <w:sz w:val="28"/>
          <w:szCs w:val="28"/>
        </w:rPr>
        <w:t>.查重文</w:t>
      </w:r>
      <w:bookmarkStart w:id="4" w:name="_GoBack"/>
      <w:bookmarkEnd w:id="4"/>
      <w:r>
        <w:rPr>
          <w:rFonts w:hint="eastAsia" w:ascii="宋体" w:hAnsi="宋体" w:cs="仿宋"/>
          <w:color w:val="auto"/>
          <w:sz w:val="28"/>
          <w:szCs w:val="28"/>
        </w:rPr>
        <w:t>档的文件名必须是“班级-姓名-学号-论文标题”，文档格式可为.doc/.docx/.pdf中任意一种。</w:t>
      </w:r>
    </w:p>
    <w:p w14:paraId="6D3A64DA">
      <w:pPr>
        <w:spacing w:line="400" w:lineRule="exact"/>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二、检测标准</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6"/>
        <w:gridCol w:w="2895"/>
        <w:gridCol w:w="3401"/>
      </w:tblGrid>
      <w:tr w14:paraId="31984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226" w:type="dxa"/>
            <w:noWrap w:val="0"/>
            <w:vAlign w:val="top"/>
          </w:tcPr>
          <w:p w14:paraId="5B642A75">
            <w:pPr>
              <w:spacing w:line="400" w:lineRule="exact"/>
              <w:jc w:val="center"/>
              <w:rPr>
                <w:rFonts w:ascii="宋体" w:hAnsi="宋体" w:cs="仿宋"/>
                <w:b/>
                <w:bCs/>
                <w:color w:val="auto"/>
                <w:sz w:val="28"/>
                <w:szCs w:val="28"/>
              </w:rPr>
            </w:pPr>
            <w:r>
              <w:rPr>
                <w:rFonts w:hint="eastAsia" w:ascii="宋体" w:hAnsi="宋体" w:cs="仿宋"/>
                <w:b/>
                <w:bCs/>
                <w:color w:val="auto"/>
                <w:sz w:val="28"/>
                <w:szCs w:val="28"/>
              </w:rPr>
              <w:t>结果类别</w:t>
            </w:r>
          </w:p>
        </w:tc>
        <w:tc>
          <w:tcPr>
            <w:tcW w:w="2895" w:type="dxa"/>
            <w:noWrap w:val="0"/>
            <w:vAlign w:val="top"/>
          </w:tcPr>
          <w:p w14:paraId="065925DA">
            <w:pPr>
              <w:spacing w:line="400" w:lineRule="exact"/>
              <w:jc w:val="center"/>
              <w:rPr>
                <w:rFonts w:ascii="宋体" w:hAnsi="宋体" w:cs="仿宋"/>
                <w:b/>
                <w:bCs/>
                <w:color w:val="auto"/>
                <w:sz w:val="28"/>
                <w:szCs w:val="28"/>
              </w:rPr>
            </w:pPr>
            <w:r>
              <w:rPr>
                <w:rFonts w:hint="eastAsia" w:ascii="宋体" w:hAnsi="宋体" w:cs="仿宋"/>
                <w:b/>
                <w:bCs/>
                <w:color w:val="auto"/>
                <w:sz w:val="28"/>
                <w:szCs w:val="28"/>
              </w:rPr>
              <w:t>检测结果</w:t>
            </w:r>
          </w:p>
        </w:tc>
        <w:tc>
          <w:tcPr>
            <w:tcW w:w="3401" w:type="dxa"/>
            <w:noWrap w:val="0"/>
            <w:vAlign w:val="top"/>
          </w:tcPr>
          <w:p w14:paraId="3640C382">
            <w:pPr>
              <w:spacing w:line="400" w:lineRule="exact"/>
              <w:jc w:val="center"/>
              <w:rPr>
                <w:rFonts w:ascii="宋体" w:hAnsi="宋体" w:cs="仿宋"/>
                <w:b/>
                <w:bCs/>
                <w:color w:val="auto"/>
                <w:sz w:val="28"/>
                <w:szCs w:val="28"/>
              </w:rPr>
            </w:pPr>
            <w:r>
              <w:rPr>
                <w:rFonts w:hint="eastAsia" w:ascii="宋体" w:hAnsi="宋体" w:cs="仿宋"/>
                <w:b/>
                <w:bCs/>
                <w:color w:val="auto"/>
                <w:sz w:val="28"/>
                <w:szCs w:val="28"/>
              </w:rPr>
              <w:t>性质初步认定</w:t>
            </w:r>
          </w:p>
        </w:tc>
      </w:tr>
      <w:tr w14:paraId="41D17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226" w:type="dxa"/>
            <w:noWrap w:val="0"/>
            <w:vAlign w:val="top"/>
          </w:tcPr>
          <w:p w14:paraId="1E7089FA">
            <w:pPr>
              <w:spacing w:line="400" w:lineRule="exact"/>
              <w:jc w:val="center"/>
              <w:rPr>
                <w:rFonts w:ascii="宋体" w:hAnsi="宋体" w:cs="仿宋"/>
                <w:color w:val="auto"/>
                <w:sz w:val="28"/>
                <w:szCs w:val="28"/>
              </w:rPr>
            </w:pPr>
            <w:r>
              <w:rPr>
                <w:rFonts w:hint="eastAsia" w:ascii="宋体" w:hAnsi="宋体" w:cs="仿宋"/>
                <w:color w:val="auto"/>
                <w:sz w:val="28"/>
                <w:szCs w:val="28"/>
              </w:rPr>
              <w:t>A</w:t>
            </w:r>
          </w:p>
        </w:tc>
        <w:tc>
          <w:tcPr>
            <w:tcW w:w="2895" w:type="dxa"/>
            <w:noWrap w:val="0"/>
            <w:vAlign w:val="top"/>
          </w:tcPr>
          <w:p w14:paraId="74DF11FA">
            <w:pPr>
              <w:spacing w:line="400" w:lineRule="exact"/>
              <w:jc w:val="center"/>
              <w:rPr>
                <w:rFonts w:ascii="宋体" w:hAnsi="宋体" w:cs="仿宋"/>
                <w:color w:val="auto"/>
                <w:sz w:val="28"/>
                <w:szCs w:val="28"/>
              </w:rPr>
            </w:pPr>
            <w:r>
              <w:rPr>
                <w:rFonts w:hint="eastAsia" w:ascii="宋体" w:hAnsi="宋体" w:cs="仿宋"/>
                <w:color w:val="auto"/>
                <w:sz w:val="28"/>
                <w:szCs w:val="28"/>
              </w:rPr>
              <w:t>R＜30%</w:t>
            </w:r>
          </w:p>
        </w:tc>
        <w:tc>
          <w:tcPr>
            <w:tcW w:w="3401" w:type="dxa"/>
            <w:noWrap w:val="0"/>
            <w:vAlign w:val="top"/>
          </w:tcPr>
          <w:p w14:paraId="25A28710">
            <w:pPr>
              <w:spacing w:line="400" w:lineRule="exact"/>
              <w:jc w:val="center"/>
              <w:rPr>
                <w:rFonts w:ascii="宋体" w:hAnsi="宋体" w:cs="仿宋"/>
                <w:color w:val="auto"/>
                <w:sz w:val="28"/>
                <w:szCs w:val="28"/>
              </w:rPr>
            </w:pPr>
            <w:r>
              <w:rPr>
                <w:rFonts w:hint="eastAsia" w:ascii="宋体" w:hAnsi="宋体" w:cs="仿宋"/>
                <w:color w:val="auto"/>
                <w:sz w:val="28"/>
                <w:szCs w:val="28"/>
              </w:rPr>
              <w:t>通过检测</w:t>
            </w:r>
          </w:p>
        </w:tc>
      </w:tr>
      <w:tr w14:paraId="65AB8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6" w:type="dxa"/>
            <w:noWrap w:val="0"/>
            <w:vAlign w:val="top"/>
          </w:tcPr>
          <w:p w14:paraId="21437E54">
            <w:pPr>
              <w:spacing w:line="400" w:lineRule="exact"/>
              <w:jc w:val="center"/>
              <w:rPr>
                <w:rFonts w:ascii="宋体" w:hAnsi="宋体" w:cs="仿宋"/>
                <w:color w:val="auto"/>
                <w:sz w:val="28"/>
                <w:szCs w:val="28"/>
              </w:rPr>
            </w:pPr>
            <w:r>
              <w:rPr>
                <w:rFonts w:hint="eastAsia" w:ascii="宋体" w:hAnsi="宋体" w:cs="仿宋"/>
                <w:color w:val="auto"/>
                <w:sz w:val="28"/>
                <w:szCs w:val="28"/>
              </w:rPr>
              <w:t>B</w:t>
            </w:r>
          </w:p>
        </w:tc>
        <w:tc>
          <w:tcPr>
            <w:tcW w:w="2895" w:type="dxa"/>
            <w:noWrap w:val="0"/>
            <w:vAlign w:val="top"/>
          </w:tcPr>
          <w:p w14:paraId="6C228C38">
            <w:pPr>
              <w:spacing w:line="400" w:lineRule="exact"/>
              <w:jc w:val="center"/>
              <w:rPr>
                <w:rFonts w:ascii="宋体" w:hAnsi="宋体" w:cs="仿宋"/>
                <w:color w:val="auto"/>
                <w:sz w:val="28"/>
                <w:szCs w:val="28"/>
              </w:rPr>
            </w:pPr>
            <w:r>
              <w:rPr>
                <w:rFonts w:hint="eastAsia" w:ascii="宋体" w:hAnsi="宋体" w:cs="仿宋"/>
                <w:color w:val="auto"/>
                <w:sz w:val="28"/>
                <w:szCs w:val="28"/>
              </w:rPr>
              <w:t>30%≤R</w:t>
            </w:r>
          </w:p>
        </w:tc>
        <w:tc>
          <w:tcPr>
            <w:tcW w:w="3401" w:type="dxa"/>
            <w:noWrap w:val="0"/>
            <w:vAlign w:val="top"/>
          </w:tcPr>
          <w:p w14:paraId="6775C779">
            <w:pPr>
              <w:spacing w:line="400" w:lineRule="exact"/>
              <w:jc w:val="center"/>
              <w:rPr>
                <w:rFonts w:ascii="宋体" w:hAnsi="宋体" w:cs="仿宋"/>
                <w:color w:val="auto"/>
                <w:sz w:val="28"/>
                <w:szCs w:val="28"/>
              </w:rPr>
            </w:pPr>
            <w:r>
              <w:rPr>
                <w:rFonts w:hint="eastAsia" w:ascii="宋体" w:hAnsi="宋体" w:cs="仿宋"/>
                <w:color w:val="auto"/>
                <w:sz w:val="28"/>
                <w:szCs w:val="28"/>
              </w:rPr>
              <w:t>疑似有抄袭行为</w:t>
            </w:r>
          </w:p>
        </w:tc>
      </w:tr>
    </w:tbl>
    <w:p w14:paraId="7DD3321E">
      <w:pPr>
        <w:spacing w:line="400" w:lineRule="exact"/>
        <w:rPr>
          <w:rFonts w:hint="eastAsia" w:ascii="宋体" w:hAnsi="宋体" w:cs="仿宋"/>
          <w:color w:val="auto"/>
          <w:sz w:val="28"/>
          <w:szCs w:val="28"/>
        </w:rPr>
      </w:pPr>
      <w:r>
        <w:rPr>
          <w:rFonts w:hint="eastAsia" w:ascii="宋体" w:hAnsi="宋体" w:cs="仿宋"/>
          <w:color w:val="auto"/>
          <w:sz w:val="28"/>
          <w:szCs w:val="28"/>
        </w:rPr>
        <w:t>注：1.R为文章整篇文字复制比，是指被检测论文与非本人学术成果的文字重合字数占全文的百分比。</w:t>
      </w:r>
    </w:p>
    <w:p w14:paraId="264E0996">
      <w:pPr>
        <w:spacing w:line="400" w:lineRule="exact"/>
        <w:ind w:firstLine="560" w:firstLineChars="200"/>
        <w:rPr>
          <w:rFonts w:hint="eastAsia" w:ascii="宋体" w:hAnsi="宋体" w:cs="仿宋"/>
          <w:color w:val="auto"/>
          <w:sz w:val="28"/>
          <w:szCs w:val="28"/>
        </w:rPr>
      </w:pPr>
      <w:r>
        <w:rPr>
          <w:rFonts w:hint="eastAsia" w:ascii="宋体" w:hAnsi="宋体" w:cs="仿宋"/>
          <w:color w:val="auto"/>
          <w:sz w:val="28"/>
          <w:szCs w:val="28"/>
        </w:rPr>
        <w:t>2.毕业论文（设计）的文献综述部分、作者对于自己发表的论著引用部分可以不计入重复率。</w:t>
      </w:r>
    </w:p>
    <w:p w14:paraId="3E7DE3BF">
      <w:pPr>
        <w:spacing w:line="400" w:lineRule="exact"/>
        <w:ind w:firstLine="560" w:firstLineChars="200"/>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三</w:t>
      </w:r>
      <w:r>
        <w:rPr>
          <w:rFonts w:hint="eastAsia" w:ascii="黑体" w:hAnsi="黑体" w:eastAsia="黑体" w:cs="黑体"/>
          <w:color w:val="auto"/>
          <w:sz w:val="28"/>
          <w:szCs w:val="28"/>
        </w:rPr>
        <w:t>、</w:t>
      </w:r>
      <w:r>
        <w:rPr>
          <w:rFonts w:hint="eastAsia" w:ascii="黑体" w:hAnsi="黑体" w:eastAsia="黑体" w:cs="黑体"/>
          <w:color w:val="auto"/>
          <w:sz w:val="28"/>
          <w:szCs w:val="28"/>
          <w:lang w:eastAsia="zh-CN"/>
        </w:rPr>
        <w:t>工作流程</w:t>
      </w:r>
    </w:p>
    <w:p w14:paraId="51BCC4F1">
      <w:pPr>
        <w:spacing w:line="400" w:lineRule="exact"/>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1.各</w:t>
      </w:r>
      <w:r>
        <w:rPr>
          <w:rFonts w:hint="eastAsia" w:ascii="宋体" w:hAnsi="宋体" w:cs="宋体"/>
          <w:color w:val="auto"/>
          <w:sz w:val="28"/>
          <w:szCs w:val="28"/>
          <w:lang w:eastAsia="zh-CN"/>
        </w:rPr>
        <w:t>学院</w:t>
      </w:r>
      <w:r>
        <w:rPr>
          <w:rFonts w:hint="eastAsia" w:ascii="宋体" w:hAnsi="宋体" w:eastAsia="宋体" w:cs="宋体"/>
          <w:color w:val="auto"/>
          <w:sz w:val="28"/>
          <w:szCs w:val="28"/>
        </w:rPr>
        <w:t>根据专业特点,在学校管理办法框架内,制定本</w:t>
      </w:r>
      <w:r>
        <w:rPr>
          <w:rFonts w:hint="eastAsia" w:ascii="宋体" w:hAnsi="宋体" w:cs="宋体"/>
          <w:color w:val="auto"/>
          <w:sz w:val="28"/>
          <w:szCs w:val="28"/>
          <w:lang w:eastAsia="zh-CN"/>
        </w:rPr>
        <w:t>单位</w:t>
      </w:r>
      <w:r>
        <w:rPr>
          <w:rFonts w:hint="eastAsia" w:ascii="宋体" w:hAnsi="宋体" w:eastAsia="宋体" w:cs="宋体"/>
          <w:color w:val="auto"/>
          <w:sz w:val="28"/>
          <w:szCs w:val="28"/>
        </w:rPr>
        <w:t>毕业论文查重工作实施细则,明确检测工作流程、时间安排,复制比控制线及检测结果认定和处理办法等</w:t>
      </w:r>
      <w:r>
        <w:rPr>
          <w:rFonts w:hint="eastAsia" w:ascii="宋体" w:hAnsi="宋体" w:cs="宋体"/>
          <w:color w:val="auto"/>
          <w:sz w:val="28"/>
          <w:szCs w:val="28"/>
          <w:lang w:eastAsia="zh-CN"/>
        </w:rPr>
        <w:t>。</w:t>
      </w:r>
    </w:p>
    <w:p w14:paraId="1D592967">
      <w:pPr>
        <w:spacing w:line="4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2.教务处设定各</w:t>
      </w:r>
      <w:r>
        <w:rPr>
          <w:rFonts w:hint="eastAsia" w:ascii="宋体" w:hAnsi="宋体" w:cs="宋体"/>
          <w:color w:val="auto"/>
          <w:sz w:val="28"/>
          <w:szCs w:val="28"/>
          <w:lang w:eastAsia="zh-CN"/>
        </w:rPr>
        <w:t>学院管理员账号</w:t>
      </w:r>
      <w:r>
        <w:rPr>
          <w:rFonts w:hint="eastAsia" w:ascii="宋体" w:hAnsi="宋体" w:eastAsia="宋体" w:cs="宋体"/>
          <w:color w:val="auto"/>
          <w:sz w:val="28"/>
          <w:szCs w:val="28"/>
        </w:rPr>
        <w:t>和密码</w:t>
      </w:r>
      <w:r>
        <w:rPr>
          <w:rFonts w:hint="eastAsia" w:ascii="宋体" w:hAnsi="宋体" w:cs="宋体"/>
          <w:color w:val="auto"/>
          <w:sz w:val="28"/>
          <w:szCs w:val="28"/>
          <w:lang w:eastAsia="zh-CN"/>
        </w:rPr>
        <w:t>，各学院管理员</w:t>
      </w:r>
      <w:r>
        <w:rPr>
          <w:rFonts w:hint="eastAsia" w:ascii="宋体" w:hAnsi="宋体" w:eastAsia="宋体" w:cs="宋体"/>
          <w:color w:val="auto"/>
          <w:sz w:val="28"/>
          <w:szCs w:val="28"/>
        </w:rPr>
        <w:t>将本单位教师名单和毕业生名单导入系统。</w:t>
      </w:r>
    </w:p>
    <w:p w14:paraId="2E4A3A5E">
      <w:pPr>
        <w:spacing w:line="4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w:t>
      </w:r>
      <w:r>
        <w:rPr>
          <w:rFonts w:hint="eastAsia" w:ascii="宋体" w:hAnsi="宋体" w:cs="宋体"/>
          <w:color w:val="auto"/>
          <w:sz w:val="28"/>
          <w:szCs w:val="28"/>
          <w:lang w:eastAsia="zh-CN"/>
        </w:rPr>
        <w:t>学院管理员</w:t>
      </w:r>
      <w:r>
        <w:rPr>
          <w:rFonts w:hint="eastAsia" w:ascii="宋体" w:hAnsi="宋体" w:eastAsia="宋体" w:cs="宋体"/>
          <w:color w:val="auto"/>
          <w:sz w:val="28"/>
          <w:szCs w:val="28"/>
        </w:rPr>
        <w:t>组织对学生毕业论文</w:t>
      </w:r>
      <w:r>
        <w:rPr>
          <w:rFonts w:hint="eastAsia" w:ascii="宋体" w:hAnsi="宋体" w:cs="宋体"/>
          <w:color w:val="auto"/>
          <w:sz w:val="28"/>
          <w:szCs w:val="28"/>
          <w:lang w:eastAsia="zh-CN"/>
        </w:rPr>
        <w:t>（设计）</w:t>
      </w:r>
      <w:r>
        <w:rPr>
          <w:rFonts w:hint="eastAsia" w:ascii="宋体" w:hAnsi="宋体" w:eastAsia="宋体" w:cs="宋体"/>
          <w:color w:val="auto"/>
          <w:sz w:val="28"/>
          <w:szCs w:val="28"/>
        </w:rPr>
        <w:t>进行</w:t>
      </w:r>
      <w:r>
        <w:rPr>
          <w:rFonts w:hint="eastAsia" w:ascii="宋体" w:hAnsi="宋体" w:cs="宋体"/>
          <w:color w:val="auto"/>
          <w:sz w:val="28"/>
          <w:szCs w:val="28"/>
          <w:lang w:eastAsia="zh-CN"/>
        </w:rPr>
        <w:t>查重</w:t>
      </w:r>
      <w:r>
        <w:rPr>
          <w:rFonts w:hint="eastAsia" w:ascii="宋体" w:hAnsi="宋体" w:eastAsia="宋体" w:cs="宋体"/>
          <w:color w:val="auto"/>
          <w:sz w:val="28"/>
          <w:szCs w:val="28"/>
        </w:rPr>
        <w:t>,</w:t>
      </w:r>
      <w:r>
        <w:rPr>
          <w:rFonts w:hint="eastAsia" w:ascii="宋体" w:hAnsi="宋体" w:cs="宋体"/>
          <w:color w:val="auto"/>
          <w:sz w:val="28"/>
          <w:szCs w:val="28"/>
          <w:lang w:eastAsia="zh-CN"/>
        </w:rPr>
        <w:t>学生及指导教师可在平台上查询查重结果</w:t>
      </w:r>
      <w:r>
        <w:rPr>
          <w:rFonts w:hint="eastAsia" w:ascii="宋体" w:hAnsi="宋体" w:eastAsia="宋体" w:cs="宋体"/>
          <w:color w:val="auto"/>
          <w:sz w:val="28"/>
          <w:szCs w:val="28"/>
        </w:rPr>
        <w:t>。</w:t>
      </w:r>
    </w:p>
    <w:p w14:paraId="0532AB68">
      <w:pPr>
        <w:spacing w:line="4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4.学生针对查重结果对论文</w:t>
      </w:r>
      <w:r>
        <w:rPr>
          <w:rFonts w:hint="eastAsia" w:ascii="宋体" w:hAnsi="宋体" w:cs="宋体"/>
          <w:color w:val="auto"/>
          <w:sz w:val="28"/>
          <w:szCs w:val="28"/>
          <w:lang w:eastAsia="zh-CN"/>
        </w:rPr>
        <w:t>（设计）</w:t>
      </w:r>
      <w:r>
        <w:rPr>
          <w:rFonts w:hint="eastAsia" w:ascii="宋体" w:hAnsi="宋体" w:eastAsia="宋体" w:cs="宋体"/>
          <w:color w:val="auto"/>
          <w:sz w:val="28"/>
          <w:szCs w:val="28"/>
        </w:rPr>
        <w:t>进行修改，指导教师应及时掌握学生检测情况,并对修改加以指导。</w:t>
      </w:r>
    </w:p>
    <w:p w14:paraId="16460CA9">
      <w:pPr>
        <w:spacing w:line="4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5.学校将通过</w:t>
      </w:r>
      <w:r>
        <w:rPr>
          <w:rFonts w:hint="eastAsia" w:ascii="宋体" w:hAnsi="宋体" w:cs="宋体"/>
          <w:color w:val="auto"/>
          <w:sz w:val="28"/>
          <w:szCs w:val="28"/>
          <w:lang w:eastAsia="zh-CN"/>
        </w:rPr>
        <w:t>管理</w:t>
      </w:r>
      <w:r>
        <w:rPr>
          <w:rFonts w:hint="eastAsia" w:ascii="宋体" w:hAnsi="宋体" w:eastAsia="宋体" w:cs="宋体"/>
          <w:color w:val="auto"/>
          <w:sz w:val="28"/>
          <w:szCs w:val="28"/>
        </w:rPr>
        <w:t>平台即时了解全校学生论文</w:t>
      </w:r>
      <w:r>
        <w:rPr>
          <w:rFonts w:hint="eastAsia" w:ascii="宋体" w:hAnsi="宋体" w:cs="宋体"/>
          <w:color w:val="auto"/>
          <w:sz w:val="28"/>
          <w:szCs w:val="28"/>
          <w:lang w:eastAsia="zh-CN"/>
        </w:rPr>
        <w:t>（设计）查重</w:t>
      </w:r>
      <w:r>
        <w:rPr>
          <w:rFonts w:hint="eastAsia" w:ascii="宋体" w:hAnsi="宋体" w:eastAsia="宋体" w:cs="宋体"/>
          <w:color w:val="auto"/>
          <w:sz w:val="28"/>
          <w:szCs w:val="28"/>
        </w:rPr>
        <w:t>情况及指导教师审阅、指导情况。</w:t>
      </w:r>
    </w:p>
    <w:p w14:paraId="76647C10">
      <w:pPr>
        <w:spacing w:line="400" w:lineRule="exact"/>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lang w:eastAsia="zh-CN"/>
        </w:rPr>
        <w:t>四</w:t>
      </w:r>
      <w:r>
        <w:rPr>
          <w:rFonts w:hint="eastAsia" w:ascii="黑体" w:hAnsi="黑体" w:eastAsia="黑体" w:cs="黑体"/>
          <w:color w:val="auto"/>
          <w:sz w:val="28"/>
          <w:szCs w:val="28"/>
        </w:rPr>
        <w:t>、重点说明</w:t>
      </w:r>
    </w:p>
    <w:p w14:paraId="64065B42">
      <w:pPr>
        <w:spacing w:line="400" w:lineRule="exact"/>
        <w:ind w:left="640"/>
        <w:rPr>
          <w:rFonts w:hint="eastAsia" w:ascii="宋体" w:hAnsi="宋体" w:cs="仿宋"/>
          <w:color w:val="auto"/>
          <w:sz w:val="28"/>
          <w:szCs w:val="28"/>
        </w:rPr>
      </w:pPr>
      <w:r>
        <w:rPr>
          <w:rFonts w:hint="eastAsia" w:ascii="宋体" w:hAnsi="宋体" w:cs="仿宋"/>
          <w:color w:val="auto"/>
          <w:sz w:val="28"/>
          <w:szCs w:val="28"/>
        </w:rPr>
        <w:t>1.毕业论文</w:t>
      </w:r>
      <w:r>
        <w:rPr>
          <w:rFonts w:hint="eastAsia" w:ascii="宋体" w:hAnsi="宋体" w:cs="仿宋"/>
          <w:color w:val="auto"/>
          <w:sz w:val="28"/>
          <w:szCs w:val="28"/>
          <w:lang w:eastAsia="zh-CN"/>
        </w:rPr>
        <w:t>（设计）</w:t>
      </w:r>
      <w:r>
        <w:rPr>
          <w:rFonts w:hint="eastAsia" w:ascii="宋体" w:hAnsi="宋体" w:cs="仿宋"/>
          <w:color w:val="auto"/>
          <w:sz w:val="28"/>
          <w:szCs w:val="28"/>
        </w:rPr>
        <w:t>查重检测</w:t>
      </w:r>
      <w:r>
        <w:rPr>
          <w:rFonts w:hint="eastAsia" w:ascii="宋体" w:hAnsi="宋体" w:cs="仿宋"/>
          <w:color w:val="auto"/>
          <w:sz w:val="28"/>
          <w:szCs w:val="28"/>
          <w:lang w:eastAsia="zh-CN"/>
        </w:rPr>
        <w:t>结果的</w:t>
      </w:r>
      <w:r>
        <w:rPr>
          <w:rFonts w:hint="eastAsia" w:ascii="宋体" w:hAnsi="宋体" w:cs="仿宋"/>
          <w:color w:val="auto"/>
          <w:sz w:val="28"/>
          <w:szCs w:val="28"/>
        </w:rPr>
        <w:t>处理办法</w:t>
      </w:r>
    </w:p>
    <w:tbl>
      <w:tblPr>
        <w:tblStyle w:val="3"/>
        <w:tblW w:w="9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810"/>
        <w:gridCol w:w="1271"/>
        <w:gridCol w:w="1260"/>
        <w:gridCol w:w="3662"/>
        <w:gridCol w:w="933"/>
      </w:tblGrid>
      <w:tr w14:paraId="30B34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7" w:type="dxa"/>
            <w:tcBorders>
              <w:tl2br w:val="nil"/>
              <w:tr2bl w:val="nil"/>
            </w:tcBorders>
            <w:noWrap w:val="0"/>
            <w:vAlign w:val="center"/>
          </w:tcPr>
          <w:p w14:paraId="0D4CAE44">
            <w:pPr>
              <w:spacing w:line="300" w:lineRule="exact"/>
              <w:jc w:val="center"/>
              <w:rPr>
                <w:rFonts w:ascii="宋体" w:hAnsi="宋体" w:cs="仿宋"/>
                <w:color w:val="auto"/>
                <w:sz w:val="28"/>
                <w:szCs w:val="28"/>
              </w:rPr>
            </w:pPr>
            <w:r>
              <w:rPr>
                <w:rFonts w:hint="eastAsia" w:ascii="宋体" w:hAnsi="宋体" w:cs="仿宋"/>
                <w:b/>
                <w:bCs/>
                <w:color w:val="auto"/>
                <w:sz w:val="28"/>
                <w:szCs w:val="28"/>
              </w:rPr>
              <w:t>环节</w:t>
            </w:r>
          </w:p>
        </w:tc>
        <w:tc>
          <w:tcPr>
            <w:tcW w:w="810" w:type="dxa"/>
            <w:tcBorders>
              <w:tl2br w:val="nil"/>
              <w:tr2bl w:val="nil"/>
            </w:tcBorders>
            <w:noWrap w:val="0"/>
            <w:vAlign w:val="center"/>
          </w:tcPr>
          <w:p w14:paraId="2B657CB7">
            <w:pPr>
              <w:spacing w:line="300" w:lineRule="exact"/>
              <w:jc w:val="center"/>
              <w:rPr>
                <w:rFonts w:hint="eastAsia" w:ascii="宋体" w:hAnsi="宋体" w:eastAsia="宋体" w:cs="仿宋"/>
                <w:b/>
                <w:bCs/>
                <w:color w:val="auto"/>
                <w:sz w:val="28"/>
                <w:szCs w:val="28"/>
                <w:lang w:eastAsia="zh-CN"/>
              </w:rPr>
            </w:pPr>
            <w:r>
              <w:rPr>
                <w:rFonts w:hint="eastAsia" w:ascii="宋体" w:hAnsi="宋体" w:cs="仿宋"/>
                <w:b/>
                <w:bCs/>
                <w:color w:val="auto"/>
                <w:sz w:val="28"/>
                <w:szCs w:val="28"/>
                <w:lang w:eastAsia="zh-CN"/>
              </w:rPr>
              <w:t>时间安排</w:t>
            </w:r>
          </w:p>
        </w:tc>
        <w:tc>
          <w:tcPr>
            <w:tcW w:w="1271" w:type="dxa"/>
            <w:tcBorders>
              <w:tl2br w:val="nil"/>
              <w:tr2bl w:val="nil"/>
            </w:tcBorders>
            <w:noWrap w:val="0"/>
            <w:vAlign w:val="center"/>
          </w:tcPr>
          <w:p w14:paraId="609A9E0B">
            <w:pPr>
              <w:spacing w:line="300" w:lineRule="exact"/>
              <w:jc w:val="center"/>
              <w:rPr>
                <w:rFonts w:hint="eastAsia" w:ascii="宋体" w:hAnsi="宋体" w:eastAsia="宋体" w:cs="仿宋"/>
                <w:b/>
                <w:bCs/>
                <w:color w:val="auto"/>
                <w:sz w:val="28"/>
                <w:szCs w:val="28"/>
                <w:lang w:eastAsia="zh-CN"/>
              </w:rPr>
            </w:pPr>
            <w:r>
              <w:rPr>
                <w:rFonts w:hint="eastAsia" w:ascii="宋体" w:hAnsi="宋体" w:cs="仿宋"/>
                <w:b/>
                <w:bCs/>
                <w:color w:val="auto"/>
                <w:sz w:val="28"/>
                <w:szCs w:val="28"/>
              </w:rPr>
              <w:t>检测</w:t>
            </w:r>
            <w:r>
              <w:rPr>
                <w:rFonts w:hint="eastAsia" w:ascii="宋体" w:hAnsi="宋体" w:cs="仿宋"/>
                <w:b/>
                <w:bCs/>
                <w:color w:val="auto"/>
                <w:sz w:val="28"/>
                <w:szCs w:val="28"/>
                <w:lang w:eastAsia="zh-CN"/>
              </w:rPr>
              <w:t>人员</w:t>
            </w:r>
          </w:p>
        </w:tc>
        <w:tc>
          <w:tcPr>
            <w:tcW w:w="1260" w:type="dxa"/>
            <w:tcBorders>
              <w:tl2br w:val="nil"/>
              <w:tr2bl w:val="nil"/>
            </w:tcBorders>
            <w:noWrap w:val="0"/>
            <w:vAlign w:val="center"/>
          </w:tcPr>
          <w:p w14:paraId="124E578C">
            <w:pPr>
              <w:spacing w:line="300" w:lineRule="exact"/>
              <w:jc w:val="center"/>
              <w:rPr>
                <w:rFonts w:ascii="宋体" w:hAnsi="宋体" w:cs="仿宋"/>
                <w:b/>
                <w:bCs/>
                <w:color w:val="auto"/>
                <w:sz w:val="28"/>
                <w:szCs w:val="28"/>
              </w:rPr>
            </w:pPr>
            <w:r>
              <w:rPr>
                <w:rFonts w:hint="eastAsia" w:ascii="宋体" w:hAnsi="宋体" w:cs="仿宋"/>
                <w:b/>
                <w:bCs/>
                <w:color w:val="auto"/>
                <w:sz w:val="28"/>
                <w:szCs w:val="28"/>
              </w:rPr>
              <w:t>检测结果</w:t>
            </w:r>
          </w:p>
        </w:tc>
        <w:tc>
          <w:tcPr>
            <w:tcW w:w="3662" w:type="dxa"/>
            <w:tcBorders>
              <w:tl2br w:val="nil"/>
              <w:tr2bl w:val="nil"/>
            </w:tcBorders>
            <w:noWrap w:val="0"/>
            <w:vAlign w:val="center"/>
          </w:tcPr>
          <w:p w14:paraId="3B3DC0FB">
            <w:pPr>
              <w:spacing w:line="300" w:lineRule="exact"/>
              <w:jc w:val="center"/>
              <w:rPr>
                <w:rFonts w:ascii="宋体" w:hAnsi="宋体" w:cs="仿宋"/>
                <w:b/>
                <w:color w:val="auto"/>
                <w:sz w:val="28"/>
                <w:szCs w:val="28"/>
              </w:rPr>
            </w:pPr>
            <w:r>
              <w:rPr>
                <w:rFonts w:hint="eastAsia" w:ascii="宋体" w:hAnsi="宋体" w:cs="仿宋"/>
                <w:b/>
                <w:color w:val="auto"/>
                <w:sz w:val="28"/>
                <w:szCs w:val="28"/>
              </w:rPr>
              <w:t>处理办法</w:t>
            </w:r>
          </w:p>
        </w:tc>
        <w:tc>
          <w:tcPr>
            <w:tcW w:w="933" w:type="dxa"/>
            <w:tcBorders>
              <w:tl2br w:val="nil"/>
              <w:tr2bl w:val="nil"/>
            </w:tcBorders>
            <w:noWrap w:val="0"/>
            <w:vAlign w:val="center"/>
          </w:tcPr>
          <w:p w14:paraId="2880A601">
            <w:pPr>
              <w:spacing w:line="300" w:lineRule="exact"/>
              <w:jc w:val="center"/>
              <w:rPr>
                <w:rFonts w:ascii="宋体" w:hAnsi="宋体" w:cs="仿宋"/>
                <w:b/>
                <w:color w:val="auto"/>
                <w:sz w:val="28"/>
                <w:szCs w:val="28"/>
              </w:rPr>
            </w:pPr>
            <w:r>
              <w:rPr>
                <w:rFonts w:hint="eastAsia" w:ascii="宋体" w:hAnsi="宋体" w:cs="仿宋"/>
                <w:b/>
                <w:color w:val="auto"/>
                <w:sz w:val="28"/>
                <w:szCs w:val="28"/>
              </w:rPr>
              <w:t>备注</w:t>
            </w:r>
          </w:p>
        </w:tc>
      </w:tr>
      <w:tr w14:paraId="64FE8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7" w:type="dxa"/>
            <w:vMerge w:val="restart"/>
            <w:tcBorders>
              <w:tl2br w:val="nil"/>
              <w:tr2bl w:val="nil"/>
            </w:tcBorders>
            <w:noWrap w:val="0"/>
            <w:vAlign w:val="center"/>
          </w:tcPr>
          <w:p w14:paraId="670A5209">
            <w:pPr>
              <w:spacing w:line="300" w:lineRule="exact"/>
              <w:jc w:val="center"/>
              <w:rPr>
                <w:rFonts w:ascii="宋体" w:hAnsi="宋体" w:cs="仿宋"/>
                <w:color w:val="auto"/>
                <w:sz w:val="28"/>
                <w:szCs w:val="28"/>
              </w:rPr>
            </w:pPr>
            <w:r>
              <w:rPr>
                <w:rFonts w:hint="eastAsia" w:ascii="宋体" w:hAnsi="宋体" w:cs="仿宋"/>
                <w:color w:val="auto"/>
                <w:sz w:val="28"/>
                <w:szCs w:val="28"/>
              </w:rPr>
              <w:t>第</w:t>
            </w:r>
            <w:r>
              <w:rPr>
                <w:rFonts w:hint="eastAsia" w:ascii="宋体" w:hAnsi="宋体" w:cs="仿宋"/>
                <w:color w:val="auto"/>
                <w:sz w:val="28"/>
                <w:szCs w:val="28"/>
                <w:lang w:eastAsia="zh-CN"/>
              </w:rPr>
              <w:t>一</w:t>
            </w:r>
            <w:r>
              <w:rPr>
                <w:rFonts w:hint="eastAsia" w:ascii="宋体" w:hAnsi="宋体" w:cs="仿宋"/>
                <w:color w:val="auto"/>
                <w:sz w:val="28"/>
                <w:szCs w:val="28"/>
              </w:rPr>
              <w:t>次</w:t>
            </w:r>
          </w:p>
          <w:p w14:paraId="65E1111C">
            <w:pPr>
              <w:spacing w:line="300" w:lineRule="exact"/>
              <w:jc w:val="center"/>
              <w:rPr>
                <w:rFonts w:ascii="宋体" w:hAnsi="宋体" w:cs="仿宋"/>
                <w:color w:val="auto"/>
                <w:sz w:val="28"/>
                <w:szCs w:val="28"/>
              </w:rPr>
            </w:pPr>
            <w:r>
              <w:rPr>
                <w:rFonts w:hint="eastAsia" w:ascii="宋体" w:hAnsi="宋体" w:cs="仿宋"/>
                <w:color w:val="auto"/>
                <w:sz w:val="28"/>
                <w:szCs w:val="28"/>
              </w:rPr>
              <w:t>查重检测</w:t>
            </w:r>
          </w:p>
        </w:tc>
        <w:tc>
          <w:tcPr>
            <w:tcW w:w="810" w:type="dxa"/>
            <w:vMerge w:val="restart"/>
            <w:tcBorders>
              <w:tl2br w:val="nil"/>
              <w:tr2bl w:val="nil"/>
            </w:tcBorders>
            <w:noWrap w:val="0"/>
            <w:vAlign w:val="center"/>
          </w:tcPr>
          <w:p w14:paraId="295720E6">
            <w:pPr>
              <w:spacing w:line="300" w:lineRule="exact"/>
              <w:jc w:val="center"/>
              <w:rPr>
                <w:rFonts w:hint="eastAsia" w:ascii="宋体" w:hAnsi="宋体" w:cs="仿宋"/>
                <w:color w:val="auto"/>
                <w:sz w:val="28"/>
                <w:szCs w:val="28"/>
              </w:rPr>
            </w:pPr>
            <w:r>
              <w:rPr>
                <w:rFonts w:hint="eastAsia" w:ascii="宋体" w:hAnsi="宋体" w:cs="仿宋"/>
                <w:color w:val="auto"/>
                <w:sz w:val="28"/>
                <w:szCs w:val="28"/>
              </w:rPr>
              <w:t>答辩前</w:t>
            </w:r>
          </w:p>
        </w:tc>
        <w:tc>
          <w:tcPr>
            <w:tcW w:w="1271" w:type="dxa"/>
            <w:vMerge w:val="restart"/>
            <w:tcBorders>
              <w:tl2br w:val="nil"/>
              <w:tr2bl w:val="nil"/>
            </w:tcBorders>
            <w:noWrap w:val="0"/>
            <w:vAlign w:val="center"/>
          </w:tcPr>
          <w:p w14:paraId="760BD3AF">
            <w:pPr>
              <w:spacing w:line="300" w:lineRule="exact"/>
              <w:jc w:val="center"/>
              <w:rPr>
                <w:rFonts w:hint="eastAsia" w:ascii="宋体" w:hAnsi="宋体" w:cs="仿宋"/>
                <w:color w:val="auto"/>
                <w:sz w:val="28"/>
                <w:szCs w:val="28"/>
                <w:lang w:eastAsia="zh-CN"/>
              </w:rPr>
            </w:pPr>
            <w:r>
              <w:rPr>
                <w:rFonts w:hint="eastAsia" w:ascii="宋体" w:hAnsi="宋体" w:cs="仿宋"/>
                <w:color w:val="auto"/>
                <w:sz w:val="28"/>
                <w:szCs w:val="28"/>
                <w:lang w:eastAsia="zh-CN"/>
              </w:rPr>
              <w:t>分院</w:t>
            </w:r>
          </w:p>
          <w:p w14:paraId="4ECA8B98">
            <w:pPr>
              <w:spacing w:line="300" w:lineRule="exact"/>
              <w:jc w:val="center"/>
              <w:rPr>
                <w:rFonts w:hint="eastAsia" w:ascii="宋体" w:hAnsi="宋体" w:eastAsia="宋体" w:cs="仿宋"/>
                <w:color w:val="auto"/>
                <w:sz w:val="28"/>
                <w:szCs w:val="28"/>
                <w:lang w:eastAsia="zh-CN"/>
              </w:rPr>
            </w:pPr>
            <w:r>
              <w:rPr>
                <w:rFonts w:hint="eastAsia" w:ascii="宋体" w:hAnsi="宋体" w:cs="仿宋"/>
                <w:color w:val="auto"/>
                <w:sz w:val="28"/>
                <w:szCs w:val="28"/>
                <w:lang w:eastAsia="zh-CN"/>
              </w:rPr>
              <w:t>管理员</w:t>
            </w:r>
          </w:p>
        </w:tc>
        <w:tc>
          <w:tcPr>
            <w:tcW w:w="1260" w:type="dxa"/>
            <w:tcBorders>
              <w:tl2br w:val="nil"/>
              <w:tr2bl w:val="nil"/>
            </w:tcBorders>
            <w:noWrap w:val="0"/>
            <w:vAlign w:val="center"/>
          </w:tcPr>
          <w:p w14:paraId="4D21101C">
            <w:pPr>
              <w:spacing w:line="300" w:lineRule="exact"/>
              <w:jc w:val="center"/>
              <w:rPr>
                <w:rFonts w:ascii="宋体" w:hAnsi="宋体" w:cs="仿宋"/>
                <w:color w:val="auto"/>
                <w:sz w:val="28"/>
                <w:szCs w:val="28"/>
              </w:rPr>
            </w:pPr>
            <w:r>
              <w:rPr>
                <w:rFonts w:hint="eastAsia" w:ascii="宋体" w:hAnsi="宋体" w:cs="仿宋"/>
                <w:color w:val="auto"/>
                <w:sz w:val="28"/>
                <w:szCs w:val="28"/>
              </w:rPr>
              <w:t>R＜30%</w:t>
            </w:r>
          </w:p>
        </w:tc>
        <w:tc>
          <w:tcPr>
            <w:tcW w:w="3662" w:type="dxa"/>
            <w:tcBorders>
              <w:tl2br w:val="nil"/>
              <w:tr2bl w:val="nil"/>
            </w:tcBorders>
            <w:noWrap w:val="0"/>
            <w:vAlign w:val="center"/>
          </w:tcPr>
          <w:p w14:paraId="443CA496">
            <w:pPr>
              <w:spacing w:line="300" w:lineRule="exact"/>
              <w:jc w:val="left"/>
              <w:rPr>
                <w:rFonts w:ascii="宋体" w:hAnsi="宋体" w:cs="仿宋"/>
                <w:color w:val="auto"/>
                <w:sz w:val="28"/>
                <w:szCs w:val="28"/>
              </w:rPr>
            </w:pPr>
            <w:r>
              <w:rPr>
                <w:rFonts w:hint="eastAsia" w:ascii="宋体" w:hAnsi="宋体" w:cs="仿宋"/>
                <w:color w:val="auto"/>
                <w:sz w:val="28"/>
                <w:szCs w:val="28"/>
              </w:rPr>
              <w:t>进入答辩程序。</w:t>
            </w:r>
          </w:p>
        </w:tc>
        <w:tc>
          <w:tcPr>
            <w:tcW w:w="933" w:type="dxa"/>
            <w:tcBorders>
              <w:tl2br w:val="nil"/>
              <w:tr2bl w:val="nil"/>
            </w:tcBorders>
            <w:noWrap w:val="0"/>
            <w:vAlign w:val="center"/>
          </w:tcPr>
          <w:p w14:paraId="5E138E48">
            <w:pPr>
              <w:spacing w:line="300" w:lineRule="exact"/>
              <w:jc w:val="center"/>
              <w:rPr>
                <w:rFonts w:ascii="宋体" w:hAnsi="宋体" w:cs="仿宋"/>
                <w:color w:val="auto"/>
                <w:sz w:val="28"/>
                <w:szCs w:val="28"/>
              </w:rPr>
            </w:pPr>
          </w:p>
        </w:tc>
      </w:tr>
      <w:tr w14:paraId="73858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7" w:type="dxa"/>
            <w:vMerge w:val="continue"/>
            <w:tcBorders>
              <w:tl2br w:val="nil"/>
              <w:tr2bl w:val="nil"/>
            </w:tcBorders>
            <w:noWrap w:val="0"/>
            <w:vAlign w:val="center"/>
          </w:tcPr>
          <w:p w14:paraId="5B38346C">
            <w:pPr>
              <w:spacing w:line="300" w:lineRule="exact"/>
              <w:jc w:val="center"/>
              <w:rPr>
                <w:rFonts w:ascii="宋体" w:hAnsi="宋体" w:cs="仿宋"/>
                <w:color w:val="auto"/>
                <w:sz w:val="28"/>
                <w:szCs w:val="28"/>
              </w:rPr>
            </w:pPr>
          </w:p>
        </w:tc>
        <w:tc>
          <w:tcPr>
            <w:tcW w:w="810" w:type="dxa"/>
            <w:vMerge w:val="continue"/>
            <w:tcBorders>
              <w:tl2br w:val="nil"/>
              <w:tr2bl w:val="nil"/>
            </w:tcBorders>
            <w:noWrap w:val="0"/>
            <w:vAlign w:val="top"/>
          </w:tcPr>
          <w:p w14:paraId="3CF7AC04">
            <w:pPr>
              <w:spacing w:line="300" w:lineRule="exact"/>
              <w:jc w:val="center"/>
              <w:rPr>
                <w:rFonts w:ascii="宋体" w:hAnsi="宋体" w:cs="仿宋"/>
                <w:color w:val="auto"/>
                <w:sz w:val="28"/>
                <w:szCs w:val="28"/>
              </w:rPr>
            </w:pPr>
          </w:p>
        </w:tc>
        <w:tc>
          <w:tcPr>
            <w:tcW w:w="1271" w:type="dxa"/>
            <w:vMerge w:val="continue"/>
            <w:tcBorders>
              <w:tl2br w:val="nil"/>
              <w:tr2bl w:val="nil"/>
            </w:tcBorders>
            <w:noWrap w:val="0"/>
            <w:vAlign w:val="top"/>
          </w:tcPr>
          <w:p w14:paraId="00749909">
            <w:pPr>
              <w:spacing w:line="300" w:lineRule="exact"/>
              <w:jc w:val="center"/>
              <w:rPr>
                <w:rFonts w:ascii="宋体" w:hAnsi="宋体" w:cs="仿宋"/>
                <w:color w:val="auto"/>
                <w:sz w:val="28"/>
                <w:szCs w:val="28"/>
              </w:rPr>
            </w:pPr>
          </w:p>
        </w:tc>
        <w:tc>
          <w:tcPr>
            <w:tcW w:w="1260" w:type="dxa"/>
            <w:tcBorders>
              <w:tl2br w:val="nil"/>
              <w:tr2bl w:val="nil"/>
            </w:tcBorders>
            <w:noWrap w:val="0"/>
            <w:vAlign w:val="center"/>
          </w:tcPr>
          <w:p w14:paraId="4F291226">
            <w:pPr>
              <w:spacing w:line="300" w:lineRule="exact"/>
              <w:jc w:val="center"/>
              <w:rPr>
                <w:rFonts w:ascii="宋体" w:hAnsi="宋体" w:cs="仿宋"/>
                <w:color w:val="auto"/>
                <w:sz w:val="28"/>
                <w:szCs w:val="28"/>
              </w:rPr>
            </w:pPr>
            <w:r>
              <w:rPr>
                <w:rFonts w:hint="eastAsia" w:ascii="宋体" w:hAnsi="宋体" w:cs="仿宋"/>
                <w:color w:val="auto"/>
                <w:sz w:val="28"/>
                <w:szCs w:val="28"/>
              </w:rPr>
              <w:t>R≥30%</w:t>
            </w:r>
          </w:p>
        </w:tc>
        <w:tc>
          <w:tcPr>
            <w:tcW w:w="3662" w:type="dxa"/>
            <w:tcBorders>
              <w:tl2br w:val="nil"/>
              <w:tr2bl w:val="nil"/>
            </w:tcBorders>
            <w:noWrap w:val="0"/>
            <w:vAlign w:val="center"/>
          </w:tcPr>
          <w:p w14:paraId="0C6E931F">
            <w:pPr>
              <w:spacing w:line="300" w:lineRule="exact"/>
              <w:jc w:val="left"/>
              <w:rPr>
                <w:rFonts w:ascii="宋体" w:hAnsi="宋体" w:cs="仿宋"/>
                <w:color w:val="auto"/>
                <w:sz w:val="28"/>
                <w:szCs w:val="28"/>
              </w:rPr>
            </w:pPr>
            <w:r>
              <w:rPr>
                <w:rFonts w:hint="eastAsia" w:ascii="宋体" w:hAnsi="宋体" w:cs="仿宋"/>
                <w:color w:val="auto"/>
                <w:sz w:val="28"/>
                <w:szCs w:val="28"/>
              </w:rPr>
              <w:t>成绩判定为“不及格”，</w:t>
            </w:r>
            <w:r>
              <w:rPr>
                <w:rFonts w:hint="eastAsia" w:ascii="宋体" w:hAnsi="宋体" w:cs="仿宋"/>
                <w:color w:val="auto"/>
                <w:sz w:val="28"/>
                <w:szCs w:val="28"/>
                <w:lang w:eastAsia="zh-CN"/>
              </w:rPr>
              <w:t>下达《长春建筑学院取消答辩资格通知书》</w:t>
            </w:r>
            <w:r>
              <w:rPr>
                <w:rFonts w:hint="eastAsia" w:ascii="宋体" w:hAnsi="宋体" w:cs="仿宋"/>
                <w:color w:val="auto"/>
                <w:sz w:val="28"/>
                <w:szCs w:val="28"/>
              </w:rPr>
              <w:t>直接进入补答辩程序。</w:t>
            </w:r>
          </w:p>
        </w:tc>
        <w:tc>
          <w:tcPr>
            <w:tcW w:w="933" w:type="dxa"/>
            <w:tcBorders>
              <w:tl2br w:val="nil"/>
              <w:tr2bl w:val="nil"/>
            </w:tcBorders>
            <w:noWrap w:val="0"/>
            <w:vAlign w:val="center"/>
          </w:tcPr>
          <w:p w14:paraId="104F212D">
            <w:pPr>
              <w:spacing w:line="300" w:lineRule="exact"/>
              <w:jc w:val="center"/>
              <w:rPr>
                <w:rFonts w:ascii="宋体" w:hAnsi="宋体" w:cs="仿宋"/>
                <w:color w:val="auto"/>
                <w:sz w:val="28"/>
                <w:szCs w:val="28"/>
              </w:rPr>
            </w:pPr>
          </w:p>
        </w:tc>
      </w:tr>
      <w:tr w14:paraId="582C5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7" w:type="dxa"/>
            <w:vMerge w:val="restart"/>
            <w:tcBorders>
              <w:tl2br w:val="nil"/>
              <w:tr2bl w:val="nil"/>
            </w:tcBorders>
            <w:noWrap w:val="0"/>
            <w:vAlign w:val="center"/>
          </w:tcPr>
          <w:p w14:paraId="384B9400">
            <w:pPr>
              <w:spacing w:line="300" w:lineRule="exact"/>
              <w:jc w:val="center"/>
              <w:rPr>
                <w:rFonts w:ascii="宋体" w:hAnsi="宋体" w:cs="仿宋"/>
                <w:color w:val="auto"/>
                <w:sz w:val="28"/>
                <w:szCs w:val="28"/>
              </w:rPr>
            </w:pPr>
            <w:r>
              <w:rPr>
                <w:rFonts w:hint="eastAsia" w:ascii="宋体" w:hAnsi="宋体" w:cs="仿宋"/>
                <w:color w:val="auto"/>
                <w:sz w:val="28"/>
                <w:szCs w:val="28"/>
              </w:rPr>
              <w:t>第</w:t>
            </w:r>
            <w:r>
              <w:rPr>
                <w:rFonts w:hint="eastAsia" w:ascii="宋体" w:hAnsi="宋体" w:cs="仿宋"/>
                <w:color w:val="auto"/>
                <w:sz w:val="28"/>
                <w:szCs w:val="28"/>
                <w:lang w:eastAsia="zh-CN"/>
              </w:rPr>
              <w:t>二</w:t>
            </w:r>
            <w:r>
              <w:rPr>
                <w:rFonts w:hint="eastAsia" w:ascii="宋体" w:hAnsi="宋体" w:cs="仿宋"/>
                <w:color w:val="auto"/>
                <w:sz w:val="28"/>
                <w:szCs w:val="28"/>
              </w:rPr>
              <w:t>次</w:t>
            </w:r>
          </w:p>
          <w:p w14:paraId="5E6F7145">
            <w:pPr>
              <w:spacing w:line="300" w:lineRule="exact"/>
              <w:jc w:val="center"/>
              <w:rPr>
                <w:rFonts w:ascii="宋体" w:hAnsi="宋体" w:cs="仿宋"/>
                <w:color w:val="auto"/>
                <w:sz w:val="28"/>
                <w:szCs w:val="28"/>
              </w:rPr>
            </w:pPr>
            <w:r>
              <w:rPr>
                <w:rFonts w:hint="eastAsia" w:ascii="宋体" w:hAnsi="宋体" w:cs="仿宋"/>
                <w:color w:val="auto"/>
                <w:sz w:val="28"/>
                <w:szCs w:val="28"/>
              </w:rPr>
              <w:t>查重检测</w:t>
            </w:r>
          </w:p>
        </w:tc>
        <w:tc>
          <w:tcPr>
            <w:tcW w:w="810" w:type="dxa"/>
            <w:vMerge w:val="restart"/>
            <w:tcBorders>
              <w:tl2br w:val="nil"/>
              <w:tr2bl w:val="nil"/>
            </w:tcBorders>
            <w:noWrap w:val="0"/>
            <w:vAlign w:val="center"/>
          </w:tcPr>
          <w:p w14:paraId="040F2FDC">
            <w:pPr>
              <w:spacing w:line="300" w:lineRule="exact"/>
              <w:jc w:val="center"/>
              <w:rPr>
                <w:rFonts w:hint="eastAsia" w:ascii="宋体" w:hAnsi="宋体" w:cs="仿宋"/>
                <w:color w:val="auto"/>
                <w:sz w:val="28"/>
                <w:szCs w:val="28"/>
              </w:rPr>
            </w:pPr>
            <w:r>
              <w:rPr>
                <w:rFonts w:hint="eastAsia" w:ascii="宋体" w:hAnsi="宋体" w:cs="仿宋"/>
                <w:color w:val="auto"/>
                <w:sz w:val="28"/>
                <w:szCs w:val="28"/>
              </w:rPr>
              <w:t>补答辩前</w:t>
            </w:r>
          </w:p>
        </w:tc>
        <w:tc>
          <w:tcPr>
            <w:tcW w:w="1271" w:type="dxa"/>
            <w:vMerge w:val="restart"/>
            <w:tcBorders>
              <w:tl2br w:val="nil"/>
              <w:tr2bl w:val="nil"/>
            </w:tcBorders>
            <w:noWrap w:val="0"/>
            <w:vAlign w:val="center"/>
          </w:tcPr>
          <w:p w14:paraId="233DC5A3">
            <w:pPr>
              <w:spacing w:line="300" w:lineRule="exact"/>
              <w:jc w:val="center"/>
              <w:rPr>
                <w:rFonts w:hint="eastAsia" w:ascii="宋体" w:hAnsi="宋体" w:cs="仿宋"/>
                <w:color w:val="auto"/>
                <w:sz w:val="28"/>
                <w:szCs w:val="28"/>
                <w:lang w:eastAsia="zh-CN"/>
              </w:rPr>
            </w:pPr>
            <w:r>
              <w:rPr>
                <w:rFonts w:hint="eastAsia" w:ascii="宋体" w:hAnsi="宋体" w:cs="仿宋"/>
                <w:color w:val="auto"/>
                <w:sz w:val="28"/>
                <w:szCs w:val="28"/>
                <w:lang w:eastAsia="zh-CN"/>
              </w:rPr>
              <w:t>分院</w:t>
            </w:r>
          </w:p>
          <w:p w14:paraId="6447F52A">
            <w:pPr>
              <w:spacing w:line="300" w:lineRule="exact"/>
              <w:jc w:val="center"/>
              <w:rPr>
                <w:rFonts w:hint="eastAsia" w:ascii="宋体" w:hAnsi="宋体" w:eastAsia="宋体" w:cs="仿宋"/>
                <w:color w:val="auto"/>
                <w:sz w:val="28"/>
                <w:szCs w:val="28"/>
                <w:lang w:eastAsia="zh-CN"/>
              </w:rPr>
            </w:pPr>
            <w:r>
              <w:rPr>
                <w:rFonts w:hint="eastAsia" w:ascii="宋体" w:hAnsi="宋体" w:cs="仿宋"/>
                <w:color w:val="auto"/>
                <w:sz w:val="28"/>
                <w:szCs w:val="28"/>
                <w:lang w:eastAsia="zh-CN"/>
              </w:rPr>
              <w:t>管理员</w:t>
            </w:r>
          </w:p>
        </w:tc>
        <w:tc>
          <w:tcPr>
            <w:tcW w:w="1260" w:type="dxa"/>
            <w:tcBorders>
              <w:tl2br w:val="nil"/>
              <w:tr2bl w:val="nil"/>
            </w:tcBorders>
            <w:noWrap w:val="0"/>
            <w:vAlign w:val="center"/>
          </w:tcPr>
          <w:p w14:paraId="4108D87C">
            <w:pPr>
              <w:spacing w:line="300" w:lineRule="exact"/>
              <w:jc w:val="center"/>
              <w:rPr>
                <w:rFonts w:ascii="宋体" w:hAnsi="宋体" w:cs="仿宋"/>
                <w:color w:val="auto"/>
                <w:sz w:val="28"/>
                <w:szCs w:val="28"/>
              </w:rPr>
            </w:pPr>
            <w:r>
              <w:rPr>
                <w:rFonts w:hint="eastAsia" w:ascii="宋体" w:hAnsi="宋体" w:cs="仿宋"/>
                <w:color w:val="auto"/>
                <w:sz w:val="28"/>
                <w:szCs w:val="28"/>
              </w:rPr>
              <w:t>R＜30%</w:t>
            </w:r>
          </w:p>
        </w:tc>
        <w:tc>
          <w:tcPr>
            <w:tcW w:w="3662" w:type="dxa"/>
            <w:tcBorders>
              <w:tl2br w:val="nil"/>
              <w:tr2bl w:val="nil"/>
            </w:tcBorders>
            <w:noWrap w:val="0"/>
            <w:vAlign w:val="center"/>
          </w:tcPr>
          <w:p w14:paraId="2F743D86">
            <w:pPr>
              <w:spacing w:line="300" w:lineRule="exact"/>
              <w:jc w:val="left"/>
              <w:rPr>
                <w:rFonts w:ascii="宋体" w:hAnsi="宋体" w:cs="仿宋"/>
                <w:color w:val="auto"/>
                <w:sz w:val="28"/>
                <w:szCs w:val="28"/>
              </w:rPr>
            </w:pPr>
            <w:r>
              <w:rPr>
                <w:rFonts w:hint="eastAsia" w:ascii="宋体" w:hAnsi="宋体" w:cs="仿宋"/>
                <w:color w:val="auto"/>
                <w:sz w:val="28"/>
                <w:szCs w:val="28"/>
              </w:rPr>
              <w:t>进入补答辩程序。</w:t>
            </w:r>
          </w:p>
        </w:tc>
        <w:tc>
          <w:tcPr>
            <w:tcW w:w="933" w:type="dxa"/>
            <w:tcBorders>
              <w:tl2br w:val="nil"/>
              <w:tr2bl w:val="nil"/>
            </w:tcBorders>
            <w:noWrap w:val="0"/>
            <w:vAlign w:val="center"/>
          </w:tcPr>
          <w:p w14:paraId="53033D36">
            <w:pPr>
              <w:spacing w:line="300" w:lineRule="exact"/>
              <w:jc w:val="center"/>
              <w:rPr>
                <w:rFonts w:ascii="宋体" w:hAnsi="宋体" w:cs="仿宋"/>
                <w:color w:val="auto"/>
                <w:sz w:val="28"/>
                <w:szCs w:val="28"/>
              </w:rPr>
            </w:pPr>
          </w:p>
        </w:tc>
      </w:tr>
      <w:tr w14:paraId="7BD9C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7" w:type="dxa"/>
            <w:vMerge w:val="continue"/>
            <w:tcBorders>
              <w:tl2br w:val="nil"/>
              <w:tr2bl w:val="nil"/>
            </w:tcBorders>
            <w:noWrap w:val="0"/>
            <w:vAlign w:val="center"/>
          </w:tcPr>
          <w:p w14:paraId="5D727617">
            <w:pPr>
              <w:spacing w:line="300" w:lineRule="exact"/>
              <w:jc w:val="center"/>
              <w:rPr>
                <w:rFonts w:ascii="宋体" w:hAnsi="宋体" w:cs="仿宋"/>
                <w:color w:val="auto"/>
                <w:sz w:val="28"/>
                <w:szCs w:val="28"/>
              </w:rPr>
            </w:pPr>
          </w:p>
        </w:tc>
        <w:tc>
          <w:tcPr>
            <w:tcW w:w="810" w:type="dxa"/>
            <w:vMerge w:val="continue"/>
            <w:tcBorders>
              <w:tl2br w:val="nil"/>
              <w:tr2bl w:val="nil"/>
            </w:tcBorders>
            <w:noWrap w:val="0"/>
            <w:vAlign w:val="top"/>
          </w:tcPr>
          <w:p w14:paraId="5049790A">
            <w:pPr>
              <w:spacing w:line="300" w:lineRule="exact"/>
              <w:jc w:val="center"/>
              <w:rPr>
                <w:rFonts w:ascii="宋体" w:hAnsi="宋体" w:cs="仿宋"/>
                <w:color w:val="auto"/>
                <w:sz w:val="28"/>
                <w:szCs w:val="28"/>
              </w:rPr>
            </w:pPr>
          </w:p>
        </w:tc>
        <w:tc>
          <w:tcPr>
            <w:tcW w:w="1271" w:type="dxa"/>
            <w:vMerge w:val="continue"/>
            <w:tcBorders>
              <w:tl2br w:val="nil"/>
              <w:tr2bl w:val="nil"/>
            </w:tcBorders>
            <w:noWrap w:val="0"/>
            <w:vAlign w:val="top"/>
          </w:tcPr>
          <w:p w14:paraId="66227FD9">
            <w:pPr>
              <w:spacing w:line="300" w:lineRule="exact"/>
              <w:jc w:val="center"/>
              <w:rPr>
                <w:rFonts w:ascii="宋体" w:hAnsi="宋体" w:cs="仿宋"/>
                <w:color w:val="auto"/>
                <w:sz w:val="28"/>
                <w:szCs w:val="28"/>
              </w:rPr>
            </w:pPr>
          </w:p>
        </w:tc>
        <w:tc>
          <w:tcPr>
            <w:tcW w:w="1260" w:type="dxa"/>
            <w:tcBorders>
              <w:tl2br w:val="nil"/>
              <w:tr2bl w:val="nil"/>
            </w:tcBorders>
            <w:noWrap w:val="0"/>
            <w:vAlign w:val="center"/>
          </w:tcPr>
          <w:p w14:paraId="0D84EC52">
            <w:pPr>
              <w:spacing w:line="300" w:lineRule="exact"/>
              <w:jc w:val="center"/>
              <w:rPr>
                <w:rFonts w:ascii="宋体" w:hAnsi="宋体" w:cs="仿宋"/>
                <w:color w:val="auto"/>
                <w:sz w:val="28"/>
                <w:szCs w:val="28"/>
              </w:rPr>
            </w:pPr>
            <w:r>
              <w:rPr>
                <w:rFonts w:hint="eastAsia" w:ascii="宋体" w:hAnsi="宋体" w:cs="仿宋"/>
                <w:color w:val="auto"/>
                <w:sz w:val="28"/>
                <w:szCs w:val="28"/>
              </w:rPr>
              <w:t>R≥30%</w:t>
            </w:r>
          </w:p>
        </w:tc>
        <w:tc>
          <w:tcPr>
            <w:tcW w:w="3662" w:type="dxa"/>
            <w:tcBorders>
              <w:tl2br w:val="nil"/>
              <w:tr2bl w:val="nil"/>
            </w:tcBorders>
            <w:noWrap w:val="0"/>
            <w:vAlign w:val="center"/>
          </w:tcPr>
          <w:p w14:paraId="20649221">
            <w:pPr>
              <w:spacing w:line="300" w:lineRule="exact"/>
              <w:jc w:val="left"/>
              <w:rPr>
                <w:rFonts w:ascii="宋体" w:hAnsi="宋体" w:cs="仿宋"/>
                <w:color w:val="auto"/>
                <w:sz w:val="28"/>
                <w:szCs w:val="28"/>
              </w:rPr>
            </w:pPr>
            <w:r>
              <w:rPr>
                <w:rFonts w:hint="eastAsia" w:ascii="宋体" w:hAnsi="宋体" w:cs="仿宋"/>
                <w:color w:val="auto"/>
                <w:sz w:val="28"/>
                <w:szCs w:val="28"/>
              </w:rPr>
              <w:t>成绩判定为“不及格”，下一学年重</w:t>
            </w:r>
            <w:r>
              <w:rPr>
                <w:rFonts w:hint="eastAsia" w:ascii="宋体" w:hAnsi="宋体" w:cs="仿宋"/>
                <w:color w:val="auto"/>
                <w:sz w:val="28"/>
                <w:szCs w:val="28"/>
                <w:lang w:eastAsia="zh-CN"/>
              </w:rPr>
              <w:t>新学习</w:t>
            </w:r>
            <w:r>
              <w:rPr>
                <w:rFonts w:hint="eastAsia" w:ascii="宋体" w:hAnsi="宋体" w:cs="仿宋"/>
                <w:color w:val="auto"/>
                <w:sz w:val="28"/>
                <w:szCs w:val="28"/>
              </w:rPr>
              <w:t>。</w:t>
            </w:r>
          </w:p>
        </w:tc>
        <w:tc>
          <w:tcPr>
            <w:tcW w:w="933" w:type="dxa"/>
            <w:tcBorders>
              <w:tl2br w:val="nil"/>
              <w:tr2bl w:val="nil"/>
            </w:tcBorders>
            <w:noWrap w:val="0"/>
            <w:vAlign w:val="center"/>
          </w:tcPr>
          <w:p w14:paraId="53EBF557">
            <w:pPr>
              <w:spacing w:line="300" w:lineRule="exact"/>
              <w:jc w:val="center"/>
              <w:rPr>
                <w:rFonts w:ascii="宋体" w:hAnsi="宋体" w:cs="仿宋"/>
                <w:color w:val="auto"/>
                <w:sz w:val="28"/>
                <w:szCs w:val="28"/>
              </w:rPr>
            </w:pPr>
          </w:p>
        </w:tc>
      </w:tr>
    </w:tbl>
    <w:p w14:paraId="1592C293">
      <w:pPr>
        <w:spacing w:line="400" w:lineRule="exact"/>
        <w:ind w:firstLine="560" w:firstLineChars="200"/>
        <w:rPr>
          <w:rFonts w:hint="eastAsia" w:ascii="宋体" w:hAnsi="宋体" w:cs="仿宋"/>
          <w:color w:val="auto"/>
          <w:sz w:val="28"/>
          <w:szCs w:val="28"/>
        </w:rPr>
      </w:pPr>
      <w:r>
        <w:rPr>
          <w:rFonts w:hint="eastAsia" w:ascii="宋体" w:hAnsi="宋体" w:cs="仿宋"/>
          <w:color w:val="auto"/>
          <w:sz w:val="28"/>
          <w:szCs w:val="28"/>
        </w:rPr>
        <w:t>2.优秀毕业论文的文字复制比R不应超过20%。</w:t>
      </w:r>
    </w:p>
    <w:p w14:paraId="00A3B6E2">
      <w:pPr>
        <w:spacing w:line="400" w:lineRule="exact"/>
        <w:ind w:firstLine="560" w:firstLineChars="200"/>
        <w:rPr>
          <w:rFonts w:hint="eastAsia" w:ascii="宋体" w:hAnsi="宋体" w:cs="仿宋"/>
          <w:color w:val="auto"/>
          <w:sz w:val="28"/>
          <w:szCs w:val="28"/>
        </w:rPr>
      </w:pPr>
      <w:r>
        <w:rPr>
          <w:rFonts w:hint="eastAsia" w:ascii="宋体" w:hAnsi="宋体" w:cs="仿宋"/>
          <w:color w:val="auto"/>
          <w:sz w:val="28"/>
          <w:szCs w:val="28"/>
        </w:rPr>
        <w:t>3.学生如需提前对自己的论文</w:t>
      </w:r>
      <w:r>
        <w:rPr>
          <w:rFonts w:hint="eastAsia" w:ascii="宋体" w:hAnsi="宋体" w:cs="仿宋"/>
          <w:color w:val="auto"/>
          <w:sz w:val="28"/>
          <w:szCs w:val="28"/>
          <w:lang w:eastAsia="zh-CN"/>
        </w:rPr>
        <w:t>（设计）</w:t>
      </w:r>
      <w:r>
        <w:rPr>
          <w:rFonts w:hint="eastAsia" w:ascii="宋体" w:hAnsi="宋体" w:cs="仿宋"/>
          <w:color w:val="auto"/>
          <w:sz w:val="28"/>
          <w:szCs w:val="28"/>
        </w:rPr>
        <w:t>进行检测，可登录维普论文检测系统进行自检</w:t>
      </w:r>
      <w:r>
        <w:rPr>
          <w:rFonts w:hint="eastAsia" w:ascii="宋体" w:hAnsi="宋体" w:cs="仿宋"/>
          <w:color w:val="auto"/>
          <w:sz w:val="28"/>
          <w:szCs w:val="28"/>
          <w:lang w:eastAsia="zh-CN"/>
        </w:rPr>
        <w:t>，网址：</w:t>
      </w:r>
      <w:r>
        <w:rPr>
          <w:rFonts w:hint="eastAsia" w:ascii="宋体" w:hAnsi="宋体" w:cs="仿宋"/>
          <w:color w:val="auto"/>
          <w:sz w:val="28"/>
          <w:szCs w:val="28"/>
          <w:u w:val="single"/>
          <w:lang w:eastAsia="zh-CN"/>
        </w:rPr>
        <w:t>https://cloud.fanyu.com/organ/lib/jladi</w:t>
      </w:r>
      <w:r>
        <w:rPr>
          <w:rFonts w:hint="eastAsia" w:ascii="宋体" w:hAnsi="宋体" w:cs="仿宋"/>
          <w:color w:val="auto"/>
          <w:sz w:val="28"/>
          <w:szCs w:val="28"/>
          <w:u w:val="none"/>
          <w:lang w:eastAsia="zh-CN"/>
        </w:rPr>
        <w:t>。</w:t>
      </w:r>
    </w:p>
    <w:p w14:paraId="03619D74">
      <w:pPr>
        <w:spacing w:line="400" w:lineRule="exact"/>
        <w:ind w:left="640"/>
        <w:rPr>
          <w:rFonts w:hint="eastAsia" w:ascii="黑体" w:hAnsi="黑体" w:eastAsia="黑体" w:cs="黑体"/>
          <w:color w:val="auto"/>
          <w:sz w:val="28"/>
          <w:szCs w:val="28"/>
        </w:rPr>
      </w:pPr>
      <w:r>
        <w:rPr>
          <w:rFonts w:hint="eastAsia" w:ascii="黑体" w:hAnsi="黑体" w:eastAsia="黑体" w:cs="黑体"/>
          <w:color w:val="auto"/>
          <w:sz w:val="28"/>
          <w:szCs w:val="28"/>
          <w:lang w:eastAsia="zh-CN"/>
        </w:rPr>
        <w:t>五</w:t>
      </w:r>
      <w:r>
        <w:rPr>
          <w:rFonts w:hint="eastAsia" w:ascii="黑体" w:hAnsi="黑体" w:eastAsia="黑体" w:cs="黑体"/>
          <w:color w:val="auto"/>
          <w:sz w:val="28"/>
          <w:szCs w:val="28"/>
        </w:rPr>
        <w:t>、其他</w:t>
      </w:r>
    </w:p>
    <w:p w14:paraId="141902F9">
      <w:pPr>
        <w:spacing w:line="400" w:lineRule="exact"/>
        <w:ind w:left="640"/>
        <w:rPr>
          <w:rFonts w:hint="eastAsia" w:ascii="宋体" w:hAnsi="宋体" w:eastAsia="宋体" w:cs="仿宋"/>
          <w:color w:val="auto"/>
          <w:sz w:val="28"/>
          <w:szCs w:val="28"/>
          <w:lang w:eastAsia="zh-CN"/>
        </w:rPr>
      </w:pPr>
      <w:r>
        <w:rPr>
          <w:rFonts w:hint="eastAsia" w:ascii="宋体" w:hAnsi="宋体" w:cs="仿宋"/>
          <w:color w:val="auto"/>
          <w:sz w:val="28"/>
          <w:szCs w:val="28"/>
        </w:rPr>
        <w:t>本办法自发布之日起施行，解释权在教务处</w:t>
      </w:r>
      <w:r>
        <w:rPr>
          <w:rFonts w:hint="eastAsia" w:ascii="宋体" w:hAnsi="宋体" w:cs="仿宋"/>
          <w:color w:val="auto"/>
          <w:sz w:val="28"/>
          <w:szCs w:val="28"/>
          <w:lang w:eastAsia="zh-CN"/>
        </w:rPr>
        <w:t>。</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xNjY5MzI0ZGZhNTI5NTkwNDJhY2NlZGNhMmI1OTQifQ=="/>
  </w:docVars>
  <w:rsids>
    <w:rsidRoot w:val="3629280E"/>
    <w:rsid w:val="27156BC6"/>
    <w:rsid w:val="3629280E"/>
    <w:rsid w:val="37B02C8E"/>
    <w:rsid w:val="3EAA6C2A"/>
    <w:rsid w:val="5F9A5E4E"/>
    <w:rsid w:val="648406D3"/>
    <w:rsid w:val="6A6577C5"/>
    <w:rsid w:val="7AD24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200" w:beforeLines="200" w:line="400" w:lineRule="exact"/>
      <w:jc w:val="center"/>
      <w:outlineLvl w:val="0"/>
    </w:pPr>
    <w:rPr>
      <w:b/>
      <w:bCs/>
      <w:kern w:val="44"/>
      <w:sz w:val="36"/>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1075</Words>
  <Characters>1167</Characters>
  <Lines>0</Lines>
  <Paragraphs>0</Paragraphs>
  <TotalTime>18</TotalTime>
  <ScaleCrop>false</ScaleCrop>
  <LinksUpToDate>false</LinksUpToDate>
  <CharactersWithSpaces>1167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2023-11-23T00:39:00Z</dcterms:created>
  <dc:creator>斯文孫可爱凱</dc:creator>
  <cp:lastModifiedBy>Wds</cp:lastModifiedBy>
  <cp:lastPrinted>2023-12-13T05:45:00Z</cp:lastPrinted>
  <dcterms:modified xsi:type="dcterms:W3CDTF">2024-12-04T07:43:12Z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7F0FC27C57E04EEA8241A47E3B553051_11</vt:lpwstr>
  </property>
</Properties>
</file>