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left"/>
        <w:rPr>
          <w:rFonts w:ascii="宋体" w:hAnsi="宋体"/>
          <w:sz w:val="24"/>
        </w:rPr>
      </w:pPr>
      <w:r>
        <w:rPr>
          <w:rFonts w:hint="eastAsia" w:ascii="宋体" w:hAnsi="宋体"/>
          <w:sz w:val="24"/>
        </w:rPr>
        <w:t>附件4：</w:t>
      </w:r>
    </w:p>
    <w:p>
      <w:pPr>
        <w:pStyle w:val="2"/>
        <w:adjustRightInd w:val="0"/>
        <w:snapToGrid w:val="0"/>
        <w:spacing w:before="0" w:beforeAutospacing="0" w:after="0" w:afterAutospacing="0" w:line="400" w:lineRule="exact"/>
        <w:jc w:val="center"/>
        <w:rPr>
          <w:rFonts w:cs="仿宋_GB2312"/>
          <w:b/>
          <w:bCs/>
          <w:sz w:val="36"/>
          <w:szCs w:val="36"/>
        </w:rPr>
      </w:pPr>
      <w:bookmarkStart w:id="0" w:name="_GoBack"/>
      <w:r>
        <w:rPr>
          <w:rFonts w:hint="eastAsia" w:cs="仿宋_GB2312"/>
          <w:b/>
          <w:bCs/>
          <w:sz w:val="36"/>
          <w:szCs w:val="36"/>
        </w:rPr>
        <w:t>长春建筑学院学生××××竞赛活动安全责任书</w:t>
      </w:r>
      <w:bookmarkEnd w:id="0"/>
    </w:p>
    <w:p>
      <w:pPr>
        <w:pStyle w:val="2"/>
        <w:adjustRightInd w:val="0"/>
        <w:snapToGrid w:val="0"/>
        <w:spacing w:before="0" w:beforeAutospacing="0" w:after="0" w:afterAutospacing="0" w:line="400" w:lineRule="exact"/>
        <w:jc w:val="center"/>
        <w:rPr>
          <w:rFonts w:cs="仿宋_GB2312"/>
          <w:b/>
          <w:bCs/>
        </w:rPr>
      </w:pPr>
    </w:p>
    <w:p>
      <w:pPr>
        <w:pStyle w:val="2"/>
        <w:adjustRightInd w:val="0"/>
        <w:snapToGrid w:val="0"/>
        <w:spacing w:before="0" w:beforeAutospacing="0" w:after="0" w:afterAutospacing="0" w:line="400" w:lineRule="exact"/>
        <w:ind w:firstLine="480" w:firstLineChars="200"/>
        <w:rPr>
          <w:rFonts w:cs="仿宋_GB2312"/>
        </w:rPr>
      </w:pPr>
      <w:r>
        <w:rPr>
          <w:rFonts w:hint="eastAsia" w:cs="仿宋_GB2312"/>
        </w:rPr>
        <w:t>为积极预防、妥善处理在外参加</w:t>
      </w:r>
      <w:r>
        <w:rPr>
          <w:rFonts w:hint="eastAsia" w:cs="仿宋_GB2312"/>
          <w:b/>
          <w:bCs/>
        </w:rPr>
        <w:t>××××</w:t>
      </w:r>
      <w:r>
        <w:rPr>
          <w:rFonts w:hint="eastAsia" w:cs="仿宋_GB2312"/>
        </w:rPr>
        <w:t>竞赛学生伤害事故，保护学生的合法权益，根据《中华人民共和国教育法》《学生伤害事故处理办法》和其他相关</w:t>
      </w:r>
      <w:r>
        <w:rPr>
          <w:rFonts w:hint="eastAsia"/>
        </w:rPr>
        <w:fldChar w:fldCharType="begin"/>
      </w:r>
      <w:r>
        <w:instrText xml:space="preserve"> HYPERLINK "http://www.chinalawedu.com" \t "_blank" \o "法律"</w:instrText>
      </w:r>
      <w:r>
        <w:rPr>
          <w:rFonts w:hint="eastAsia"/>
        </w:rPr>
        <w:fldChar w:fldCharType="separate"/>
      </w:r>
      <w:r>
        <w:rPr>
          <w:rStyle w:val="4"/>
          <w:rFonts w:hint="eastAsia" w:cs="仿宋_GB2312"/>
          <w:color w:val="auto"/>
          <w:u w:val="none"/>
        </w:rPr>
        <w:t>法律</w:t>
      </w:r>
      <w:r>
        <w:rPr>
          <w:rFonts w:hint="eastAsia" w:cs="仿宋_GB2312"/>
        </w:rPr>
        <w:fldChar w:fldCharType="end"/>
      </w:r>
      <w:r>
        <w:rPr>
          <w:rFonts w:hint="eastAsia" w:cs="仿宋_GB2312"/>
        </w:rPr>
        <w:t>、</w:t>
      </w:r>
      <w:r>
        <w:rPr>
          <w:rFonts w:hint="eastAsia"/>
        </w:rPr>
        <w:fldChar w:fldCharType="begin"/>
      </w:r>
      <w:r>
        <w:instrText xml:space="preserve"> HYPERLINK "http://www.chinalawedu.com/sifakaoshi/ziliao/xingzhengfa/" \t "_blank" \o "行政法"</w:instrText>
      </w:r>
      <w:r>
        <w:rPr>
          <w:rFonts w:hint="eastAsia"/>
        </w:rPr>
        <w:fldChar w:fldCharType="separate"/>
      </w:r>
      <w:r>
        <w:rPr>
          <w:rStyle w:val="4"/>
          <w:rFonts w:hint="eastAsia" w:cs="仿宋_GB2312"/>
          <w:color w:val="auto"/>
          <w:u w:val="none"/>
        </w:rPr>
        <w:t>行政法</w:t>
      </w:r>
      <w:r>
        <w:rPr>
          <w:rFonts w:hint="eastAsia" w:cs="仿宋_GB2312"/>
        </w:rPr>
        <w:fldChar w:fldCharType="end"/>
      </w:r>
      <w:r>
        <w:rPr>
          <w:rFonts w:hint="eastAsia" w:cs="仿宋_GB2312"/>
        </w:rPr>
        <w:t>规及有关规定，签订此安全责任书。</w:t>
      </w:r>
    </w:p>
    <w:p>
      <w:pPr>
        <w:pStyle w:val="2"/>
        <w:adjustRightInd w:val="0"/>
        <w:snapToGrid w:val="0"/>
        <w:spacing w:before="0" w:beforeAutospacing="0" w:after="0" w:afterAutospacing="0" w:line="400" w:lineRule="exact"/>
        <w:ind w:firstLine="480" w:firstLineChars="200"/>
        <w:rPr>
          <w:rFonts w:cs="仿宋_GB2312"/>
        </w:rPr>
      </w:pPr>
      <w:r>
        <w:rPr>
          <w:rFonts w:hint="eastAsia" w:cs="仿宋_GB2312"/>
        </w:rPr>
        <w:t>一、下列情形下发生的造成学生人身损害后果的事故，指导教师行为并无不当的，不承担事故责任：</w:t>
      </w:r>
    </w:p>
    <w:p>
      <w:pPr>
        <w:pStyle w:val="2"/>
        <w:adjustRightInd w:val="0"/>
        <w:snapToGrid w:val="0"/>
        <w:spacing w:before="0" w:beforeAutospacing="0" w:after="0" w:afterAutospacing="0" w:line="400" w:lineRule="exact"/>
        <w:ind w:firstLine="465"/>
        <w:rPr>
          <w:rFonts w:cs="仿宋_GB2312"/>
        </w:rPr>
      </w:pPr>
      <w:r>
        <w:rPr>
          <w:rFonts w:hint="eastAsia" w:cs="仿宋_GB2312"/>
        </w:rPr>
        <w:t>（一）在竞赛进行期间，私自外出的；</w:t>
      </w:r>
    </w:p>
    <w:p>
      <w:pPr>
        <w:pStyle w:val="2"/>
        <w:adjustRightInd w:val="0"/>
        <w:snapToGrid w:val="0"/>
        <w:spacing w:before="0" w:beforeAutospacing="0" w:after="0" w:afterAutospacing="0" w:line="400" w:lineRule="exact"/>
        <w:ind w:firstLine="465"/>
        <w:rPr>
          <w:rFonts w:cs="仿宋_GB2312"/>
        </w:rPr>
      </w:pPr>
      <w:r>
        <w:rPr>
          <w:rFonts w:hint="eastAsia" w:cs="仿宋_GB2312"/>
        </w:rPr>
        <w:t>（二）在竞赛结束后（指已经安全返校）以外发生的；</w:t>
      </w:r>
    </w:p>
    <w:p>
      <w:pPr>
        <w:pStyle w:val="2"/>
        <w:adjustRightInd w:val="0"/>
        <w:snapToGrid w:val="0"/>
        <w:spacing w:before="0" w:beforeAutospacing="0" w:after="0" w:afterAutospacing="0" w:line="400" w:lineRule="exact"/>
        <w:ind w:firstLine="465"/>
        <w:rPr>
          <w:rFonts w:cs="仿宋_GB2312"/>
        </w:rPr>
      </w:pPr>
      <w:r>
        <w:rPr>
          <w:rFonts w:hint="eastAsia" w:cs="仿宋_GB2312"/>
        </w:rPr>
        <w:t>（三）各种情形的自杀伤亡者；</w:t>
      </w:r>
    </w:p>
    <w:p>
      <w:pPr>
        <w:pStyle w:val="2"/>
        <w:adjustRightInd w:val="0"/>
        <w:snapToGrid w:val="0"/>
        <w:spacing w:before="0" w:beforeAutospacing="0" w:after="0" w:afterAutospacing="0" w:line="400" w:lineRule="exact"/>
        <w:ind w:firstLine="465"/>
        <w:rPr>
          <w:rFonts w:cs="仿宋_GB2312"/>
        </w:rPr>
      </w:pPr>
      <w:r>
        <w:rPr>
          <w:rFonts w:hint="eastAsia" w:cs="仿宋_GB2312"/>
        </w:rPr>
        <w:t>（四）指导教师已经履行教育管理职责，损害事件仍不可避免地必然发生；</w:t>
      </w:r>
    </w:p>
    <w:p>
      <w:pPr>
        <w:pStyle w:val="2"/>
        <w:adjustRightInd w:val="0"/>
        <w:snapToGrid w:val="0"/>
        <w:spacing w:before="0" w:beforeAutospacing="0" w:after="0" w:afterAutospacing="0" w:line="400" w:lineRule="exact"/>
        <w:ind w:firstLine="465"/>
        <w:rPr>
          <w:rFonts w:cs="仿宋_GB2312"/>
        </w:rPr>
      </w:pPr>
      <w:r>
        <w:rPr>
          <w:rFonts w:hint="eastAsia" w:cs="仿宋_GB2312"/>
        </w:rPr>
        <w:t>（五）地震、洪水等不可抗拒的自然因素或突发性侵害造成的损害；</w:t>
      </w:r>
    </w:p>
    <w:p>
      <w:pPr>
        <w:pStyle w:val="2"/>
        <w:adjustRightInd w:val="0"/>
        <w:snapToGrid w:val="0"/>
        <w:spacing w:before="0" w:beforeAutospacing="0" w:after="0" w:afterAutospacing="0" w:line="400" w:lineRule="exact"/>
        <w:ind w:firstLine="465"/>
        <w:rPr>
          <w:rFonts w:cs="仿宋_GB2312"/>
        </w:rPr>
      </w:pPr>
      <w:r>
        <w:rPr>
          <w:rFonts w:hint="eastAsia" w:cs="仿宋_GB2312"/>
        </w:rPr>
        <w:t>（六）学生应按指定地点食宿，在指定地点外食宿和购买零食造成意外后果的，不承担责任；</w:t>
      </w:r>
    </w:p>
    <w:p>
      <w:pPr>
        <w:pStyle w:val="2"/>
        <w:adjustRightInd w:val="0"/>
        <w:snapToGrid w:val="0"/>
        <w:spacing w:before="0" w:beforeAutospacing="0" w:after="0" w:afterAutospacing="0" w:line="400" w:lineRule="exact"/>
        <w:ind w:firstLine="465"/>
        <w:rPr>
          <w:rFonts w:cs="仿宋_GB2312"/>
        </w:rPr>
      </w:pPr>
      <w:r>
        <w:rPr>
          <w:rFonts w:hint="eastAsia" w:cs="仿宋_GB2312"/>
        </w:rPr>
        <w:t>（七）其他在指导教师管理职责范围外发生的。</w:t>
      </w:r>
    </w:p>
    <w:p>
      <w:pPr>
        <w:pStyle w:val="2"/>
        <w:adjustRightInd w:val="0"/>
        <w:snapToGrid w:val="0"/>
        <w:spacing w:before="0" w:beforeAutospacing="0" w:after="0" w:afterAutospacing="0" w:line="400" w:lineRule="exact"/>
        <w:ind w:firstLine="480" w:firstLineChars="200"/>
        <w:rPr>
          <w:rFonts w:cs="仿宋_GB2312"/>
        </w:rPr>
      </w:pPr>
      <w:r>
        <w:rPr>
          <w:rFonts w:hint="eastAsia" w:cs="仿宋_GB2312"/>
        </w:rPr>
        <w:t>二、学生或者学生监护人由于过错，有下列情形之一，造成学生伤害事故，应当依法承担相应的责任：</w:t>
      </w:r>
    </w:p>
    <w:p>
      <w:pPr>
        <w:pStyle w:val="2"/>
        <w:adjustRightInd w:val="0"/>
        <w:snapToGrid w:val="0"/>
        <w:spacing w:before="0" w:beforeAutospacing="0" w:after="0" w:afterAutospacing="0" w:line="400" w:lineRule="exact"/>
        <w:ind w:firstLine="570"/>
        <w:rPr>
          <w:rFonts w:cs="仿宋_GB2312"/>
        </w:rPr>
      </w:pPr>
      <w:r>
        <w:rPr>
          <w:rFonts w:hint="eastAsia" w:cs="仿宋_GB2312"/>
        </w:rPr>
        <w:t>（一）学生违反法律</w:t>
      </w:r>
      <w:r>
        <w:rPr>
          <w:rFonts w:hint="eastAsia" w:cs="仿宋_GB2312"/>
        </w:rPr>
        <w:fldChar w:fldCharType="begin"/>
      </w:r>
      <w:r>
        <w:rPr>
          <w:rFonts w:cs="仿宋_GB2312"/>
        </w:rPr>
        <w:instrText xml:space="preserve"> HYPERLINK "http://www.chinalawedu.com/falvfagui/" \t "_blank" \o "法规"</w:instrText>
      </w:r>
      <w:r>
        <w:rPr>
          <w:rFonts w:hint="eastAsia" w:cs="仿宋_GB2312"/>
        </w:rPr>
        <w:fldChar w:fldCharType="separate"/>
      </w:r>
      <w:r>
        <w:rPr>
          <w:rFonts w:hint="eastAsia" w:cs="仿宋_GB2312"/>
        </w:rPr>
        <w:t>法规</w:t>
      </w:r>
      <w:r>
        <w:rPr>
          <w:rFonts w:hint="eastAsia" w:cs="仿宋_GB2312"/>
        </w:rPr>
        <w:fldChar w:fldCharType="end"/>
      </w:r>
      <w:r>
        <w:rPr>
          <w:rFonts w:hint="eastAsia" w:cs="仿宋_GB2312"/>
        </w:rPr>
        <w:t>的规定、社会公共行为准则、竞赛的规章制度或者纪律，实施按其年龄和认知能力应当知道具有危险或者可能危及他人的行为的；</w:t>
      </w:r>
    </w:p>
    <w:p>
      <w:pPr>
        <w:pStyle w:val="2"/>
        <w:adjustRightInd w:val="0"/>
        <w:snapToGrid w:val="0"/>
        <w:spacing w:before="0" w:beforeAutospacing="0" w:after="0" w:afterAutospacing="0" w:line="400" w:lineRule="exact"/>
        <w:ind w:firstLine="480" w:firstLineChars="200"/>
        <w:rPr>
          <w:rFonts w:cs="仿宋_GB2312"/>
        </w:rPr>
      </w:pPr>
      <w:r>
        <w:rPr>
          <w:rFonts w:hint="eastAsia" w:cs="仿宋_GB2312"/>
        </w:rPr>
        <w:t>（二）学生行为具有危险性，指导教师已经告诫、纠正，但学生不听劝阻、拒不改正的；</w:t>
      </w:r>
    </w:p>
    <w:p>
      <w:pPr>
        <w:pStyle w:val="2"/>
        <w:adjustRightInd w:val="0"/>
        <w:snapToGrid w:val="0"/>
        <w:spacing w:before="0" w:beforeAutospacing="0" w:after="0" w:afterAutospacing="0" w:line="400" w:lineRule="exact"/>
        <w:ind w:firstLine="480" w:firstLineChars="200"/>
        <w:rPr>
          <w:rFonts w:cs="仿宋_GB2312"/>
        </w:rPr>
      </w:pPr>
      <w:r>
        <w:rPr>
          <w:rFonts w:hint="eastAsia" w:cs="仿宋_GB2312"/>
        </w:rPr>
        <w:t>（三）学生或者其监护人知道学生有特异体质，或者患有特定疾病，但未告知的；</w:t>
      </w:r>
    </w:p>
    <w:p>
      <w:pPr>
        <w:pStyle w:val="2"/>
        <w:adjustRightInd w:val="0"/>
        <w:snapToGrid w:val="0"/>
        <w:spacing w:before="0" w:beforeAutospacing="0" w:after="0" w:afterAutospacing="0" w:line="400" w:lineRule="exact"/>
        <w:ind w:firstLine="480" w:firstLineChars="200"/>
        <w:rPr>
          <w:rFonts w:cs="仿宋_GB2312"/>
        </w:rPr>
      </w:pPr>
      <w:r>
        <w:rPr>
          <w:rFonts w:hint="eastAsia" w:cs="仿宋_GB2312"/>
        </w:rPr>
        <w:t>（四）学生或者学生监护人有其他过错的；</w:t>
      </w:r>
    </w:p>
    <w:p>
      <w:pPr>
        <w:pStyle w:val="2"/>
        <w:adjustRightInd w:val="0"/>
        <w:snapToGrid w:val="0"/>
        <w:spacing w:before="0" w:beforeAutospacing="0" w:after="0" w:afterAutospacing="0" w:line="400" w:lineRule="exact"/>
        <w:ind w:firstLine="480" w:firstLineChars="200"/>
        <w:rPr>
          <w:rFonts w:cs="仿宋_GB2312"/>
        </w:rPr>
      </w:pPr>
      <w:r>
        <w:rPr>
          <w:rFonts w:hint="eastAsia" w:cs="仿宋_GB2312"/>
        </w:rPr>
        <w:t>（五）自行驾驶机动车辆而伤亡者；</w:t>
      </w:r>
    </w:p>
    <w:p>
      <w:pPr>
        <w:pStyle w:val="2"/>
        <w:adjustRightInd w:val="0"/>
        <w:snapToGrid w:val="0"/>
        <w:spacing w:before="0" w:beforeAutospacing="0" w:after="0" w:afterAutospacing="0" w:line="400" w:lineRule="exact"/>
        <w:ind w:firstLine="480" w:firstLineChars="200"/>
        <w:rPr>
          <w:rFonts w:cs="仿宋_GB2312"/>
        </w:rPr>
      </w:pPr>
      <w:r>
        <w:rPr>
          <w:rFonts w:hint="eastAsia" w:cs="仿宋_GB2312"/>
        </w:rPr>
        <w:t>（六）学生应严格遵守交通规则，出现交通事故的，由肇事方负责；</w:t>
      </w:r>
    </w:p>
    <w:p>
      <w:pPr>
        <w:pStyle w:val="2"/>
        <w:adjustRightInd w:val="0"/>
        <w:snapToGrid w:val="0"/>
        <w:spacing w:before="0" w:beforeAutospacing="0" w:after="0" w:afterAutospacing="0" w:line="400" w:lineRule="exact"/>
        <w:ind w:firstLine="480" w:firstLineChars="200"/>
        <w:rPr>
          <w:rFonts w:cs="仿宋_GB2312"/>
        </w:rPr>
      </w:pPr>
      <w:r>
        <w:rPr>
          <w:rFonts w:hint="eastAsia" w:cs="仿宋_GB2312"/>
        </w:rPr>
        <w:t>（七）自行外出郊游而伤亡者；</w:t>
      </w:r>
    </w:p>
    <w:p>
      <w:pPr>
        <w:pStyle w:val="2"/>
        <w:adjustRightInd w:val="0"/>
        <w:snapToGrid w:val="0"/>
        <w:spacing w:before="0" w:beforeAutospacing="0" w:after="0" w:afterAutospacing="0" w:line="400" w:lineRule="exact"/>
        <w:ind w:firstLine="480" w:firstLineChars="200"/>
        <w:rPr>
          <w:rFonts w:cs="仿宋_GB2312"/>
        </w:rPr>
      </w:pPr>
      <w:r>
        <w:rPr>
          <w:rFonts w:hint="eastAsia" w:cs="仿宋_GB2312"/>
        </w:rPr>
        <w:t>（八）私自带、藏易燃易爆有毒物品引起的伤亡者；</w:t>
      </w:r>
    </w:p>
    <w:p>
      <w:pPr>
        <w:pStyle w:val="2"/>
        <w:adjustRightInd w:val="0"/>
        <w:snapToGrid w:val="0"/>
        <w:spacing w:before="0" w:beforeAutospacing="0" w:after="0" w:afterAutospacing="0" w:line="400" w:lineRule="exact"/>
        <w:ind w:firstLine="480" w:firstLineChars="200"/>
        <w:rPr>
          <w:rFonts w:cs="仿宋_GB2312"/>
        </w:rPr>
      </w:pPr>
      <w:r>
        <w:rPr>
          <w:rFonts w:hint="eastAsia" w:cs="仿宋_GB2312"/>
        </w:rPr>
        <w:t>（九）擅自离开指定地点出走，下落不明或伤亡者；</w:t>
      </w:r>
    </w:p>
    <w:p>
      <w:pPr>
        <w:pStyle w:val="2"/>
        <w:adjustRightInd w:val="0"/>
        <w:snapToGrid w:val="0"/>
        <w:spacing w:before="0" w:beforeAutospacing="0" w:after="0" w:afterAutospacing="0" w:line="400" w:lineRule="exact"/>
        <w:ind w:firstLine="480" w:firstLineChars="200"/>
        <w:rPr>
          <w:rFonts w:cs="仿宋_GB2312"/>
        </w:rPr>
      </w:pPr>
      <w:r>
        <w:rPr>
          <w:rFonts w:hint="eastAsia" w:cs="仿宋_GB2312"/>
        </w:rPr>
        <w:t>（十）吸毒引起的伤亡者；</w:t>
      </w:r>
    </w:p>
    <w:p>
      <w:pPr>
        <w:pStyle w:val="2"/>
        <w:adjustRightInd w:val="0"/>
        <w:snapToGrid w:val="0"/>
        <w:spacing w:before="0" w:beforeAutospacing="0" w:after="0" w:afterAutospacing="0" w:line="400" w:lineRule="exact"/>
        <w:ind w:firstLine="480" w:firstLineChars="200"/>
        <w:rPr>
          <w:rFonts w:cs="仿宋_GB2312"/>
        </w:rPr>
      </w:pPr>
      <w:r>
        <w:rPr>
          <w:rFonts w:hint="eastAsia" w:cs="仿宋_GB2312"/>
        </w:rPr>
        <w:t>（十一）严禁学生玩火、玩电、玩水、火炮、玩锐刃钝器物等，因此发生的赔偿纠纷，应由肇事者承担责任。</w:t>
      </w:r>
    </w:p>
    <w:p>
      <w:pPr>
        <w:pStyle w:val="2"/>
        <w:adjustRightInd w:val="0"/>
        <w:snapToGrid w:val="0"/>
        <w:spacing w:before="0" w:beforeAutospacing="0" w:after="0" w:afterAutospacing="0" w:line="400" w:lineRule="exact"/>
        <w:ind w:firstLine="480" w:firstLineChars="200"/>
        <w:rPr>
          <w:rFonts w:cs="仿宋_GB2312"/>
        </w:rPr>
      </w:pPr>
      <w:r>
        <w:rPr>
          <w:rFonts w:hint="eastAsia" w:cs="仿宋_GB2312"/>
        </w:rPr>
        <w:t>三、学生在竞赛期间饮酒、打架斗殴、偷盗、私自乱接电、外出游泳等其他不良行为造成不良后果，责任由学生自行负责。</w:t>
      </w:r>
    </w:p>
    <w:p>
      <w:pPr>
        <w:pStyle w:val="2"/>
        <w:adjustRightInd w:val="0"/>
        <w:snapToGrid w:val="0"/>
        <w:spacing w:before="0" w:beforeAutospacing="0" w:after="0" w:afterAutospacing="0" w:line="400" w:lineRule="exact"/>
        <w:ind w:firstLine="480" w:firstLineChars="200"/>
        <w:rPr>
          <w:rFonts w:cs="仿宋_GB2312"/>
        </w:rPr>
      </w:pPr>
      <w:r>
        <w:rPr>
          <w:rFonts w:hint="eastAsia" w:cs="仿宋_GB2312"/>
        </w:rPr>
        <w:t>四、学生在竞赛期间未按学校、竞赛组委会的操作要求进行操作，造成的事故及后果由学生本人自行负责。</w:t>
      </w:r>
    </w:p>
    <w:p>
      <w:pPr>
        <w:pStyle w:val="2"/>
        <w:adjustRightInd w:val="0"/>
        <w:snapToGrid w:val="0"/>
        <w:spacing w:before="0" w:beforeAutospacing="0" w:after="0" w:afterAutospacing="0" w:line="400" w:lineRule="exact"/>
        <w:ind w:firstLine="480" w:firstLineChars="200"/>
        <w:rPr>
          <w:rFonts w:cs="仿宋_GB2312"/>
        </w:rPr>
      </w:pPr>
      <w:r>
        <w:rPr>
          <w:rFonts w:hint="eastAsia" w:cs="仿宋_GB2312"/>
        </w:rPr>
        <w:t>五、学生若在竞赛期间亡故，学校必须及时通知家长处理善后事宜，一般在事后五日内处理完毕。</w:t>
      </w:r>
    </w:p>
    <w:p>
      <w:pPr>
        <w:pStyle w:val="2"/>
        <w:adjustRightInd w:val="0"/>
        <w:snapToGrid w:val="0"/>
        <w:spacing w:before="0" w:beforeAutospacing="0" w:after="0" w:afterAutospacing="0" w:line="400" w:lineRule="exact"/>
        <w:ind w:firstLine="480" w:firstLineChars="200"/>
        <w:rPr>
          <w:rFonts w:cs="仿宋_GB2312"/>
        </w:rPr>
      </w:pPr>
      <w:r>
        <w:rPr>
          <w:rFonts w:hint="eastAsia" w:cs="仿宋_GB2312"/>
        </w:rPr>
        <w:t>六、安全事故发生后，学校应积极进行协商调解。受伤害的学生的父母（监护人）不愿协商调解的，或经协商调解不成的，可向人</w:t>
      </w:r>
      <w:r>
        <w:rPr>
          <w:rFonts w:hint="eastAsia" w:cs="仿宋_GB2312"/>
        </w:rPr>
        <w:fldChar w:fldCharType="begin"/>
      </w:r>
      <w:r>
        <w:rPr>
          <w:rFonts w:cs="仿宋_GB2312"/>
        </w:rPr>
        <w:instrText xml:space="preserve"> HYPERLINK "http://www.chinalawedu.com/sifakaoshi/ziliao/minfa/" \t "_blank" \o "民法"</w:instrText>
      </w:r>
      <w:r>
        <w:rPr>
          <w:rFonts w:hint="eastAsia" w:cs="仿宋_GB2312"/>
        </w:rPr>
        <w:fldChar w:fldCharType="separate"/>
      </w:r>
      <w:r>
        <w:rPr>
          <w:rFonts w:hint="eastAsia" w:cs="仿宋_GB2312"/>
        </w:rPr>
        <w:t>民法</w:t>
      </w:r>
      <w:r>
        <w:rPr>
          <w:rFonts w:hint="eastAsia" w:cs="仿宋_GB2312"/>
        </w:rPr>
        <w:fldChar w:fldCharType="end"/>
      </w:r>
      <w:r>
        <w:rPr>
          <w:rFonts w:hint="eastAsia" w:cs="仿宋_GB2312"/>
        </w:rPr>
        <w:t>院提起诉讼。</w:t>
      </w:r>
    </w:p>
    <w:p>
      <w:pPr>
        <w:pStyle w:val="2"/>
        <w:adjustRightInd w:val="0"/>
        <w:snapToGrid w:val="0"/>
        <w:spacing w:before="0" w:beforeAutospacing="0" w:after="0" w:afterAutospacing="0" w:line="400" w:lineRule="exact"/>
        <w:ind w:firstLine="480" w:firstLineChars="200"/>
        <w:rPr>
          <w:rFonts w:cs="仿宋_GB2312"/>
        </w:rPr>
      </w:pPr>
      <w:r>
        <w:rPr>
          <w:rFonts w:hint="eastAsia" w:cs="仿宋_GB2312"/>
        </w:rPr>
        <w:t>七、组织参加竞赛单位负责学生竞赛期间的安全教育和管理。</w:t>
      </w:r>
    </w:p>
    <w:p>
      <w:pPr>
        <w:pStyle w:val="2"/>
        <w:adjustRightInd w:val="0"/>
        <w:snapToGrid w:val="0"/>
        <w:spacing w:before="0" w:beforeAutospacing="0" w:after="0" w:afterAutospacing="0" w:line="400" w:lineRule="exact"/>
        <w:ind w:firstLine="480" w:firstLineChars="200"/>
        <w:rPr>
          <w:rFonts w:cs="仿宋_GB2312"/>
        </w:rPr>
      </w:pPr>
      <w:r>
        <w:rPr>
          <w:rFonts w:hint="eastAsia" w:cs="仿宋_GB2312"/>
        </w:rPr>
        <w:t>八、组织参赛单位不得向学生提供机动车辆，以免学生受到伤害。</w:t>
      </w:r>
    </w:p>
    <w:p>
      <w:pPr>
        <w:pStyle w:val="2"/>
        <w:adjustRightInd w:val="0"/>
        <w:snapToGrid w:val="0"/>
        <w:spacing w:before="0" w:beforeAutospacing="0" w:after="0" w:afterAutospacing="0" w:line="400" w:lineRule="exact"/>
        <w:ind w:firstLine="480" w:firstLineChars="200"/>
        <w:rPr>
          <w:rFonts w:cs="仿宋_GB2312"/>
        </w:rPr>
      </w:pPr>
      <w:r>
        <w:rPr>
          <w:rFonts w:hint="eastAsia" w:cs="仿宋_GB2312"/>
        </w:rPr>
        <w:t>九、本责任书一式两份，分院（部）工作小组留存一份，学生留存一份，签字或盖章后生效。</w:t>
      </w:r>
    </w:p>
    <w:p>
      <w:pPr>
        <w:pStyle w:val="2"/>
        <w:adjustRightInd w:val="0"/>
        <w:snapToGrid w:val="0"/>
        <w:spacing w:before="0" w:beforeAutospacing="0" w:after="0" w:afterAutospacing="0" w:line="400" w:lineRule="exact"/>
        <w:rPr>
          <w:rFonts w:cs="仿宋_GB2312"/>
        </w:rPr>
      </w:pPr>
    </w:p>
    <w:tbl>
      <w:tblPr>
        <w:tblStyle w:val="5"/>
        <w:tblW w:w="8755" w:type="dxa"/>
        <w:tblInd w:w="0" w:type="dxa"/>
        <w:tblLayout w:type="fixed"/>
        <w:tblCellMar>
          <w:top w:w="0" w:type="dxa"/>
          <w:left w:w="108" w:type="dxa"/>
          <w:bottom w:w="0" w:type="dxa"/>
          <w:right w:w="108" w:type="dxa"/>
        </w:tblCellMar>
      </w:tblPr>
      <w:tblGrid>
        <w:gridCol w:w="4261"/>
        <w:gridCol w:w="4494"/>
      </w:tblGrid>
      <w:tr>
        <w:tblPrEx>
          <w:tblLayout w:type="fixed"/>
          <w:tblCellMar>
            <w:top w:w="0" w:type="dxa"/>
            <w:left w:w="108" w:type="dxa"/>
            <w:bottom w:w="0" w:type="dxa"/>
            <w:right w:w="108" w:type="dxa"/>
          </w:tblCellMar>
        </w:tblPrEx>
        <w:trPr>
          <w:trHeight w:val="1203" w:hRule="atLeast"/>
        </w:trPr>
        <w:tc>
          <w:tcPr>
            <w:tcW w:w="4261" w:type="dxa"/>
            <w:vAlign w:val="top"/>
          </w:tcPr>
          <w:p>
            <w:pPr>
              <w:pStyle w:val="2"/>
              <w:adjustRightInd w:val="0"/>
              <w:snapToGrid w:val="0"/>
              <w:spacing w:before="0" w:beforeAutospacing="0" w:after="0" w:afterAutospacing="0" w:line="400" w:lineRule="exact"/>
              <w:ind w:firstLine="480" w:firstLineChars="200"/>
              <w:rPr>
                <w:rFonts w:cs="仿宋_GB2312"/>
              </w:rPr>
            </w:pPr>
            <w:r>
              <w:rPr>
                <w:rFonts w:hint="eastAsia" w:cs="仿宋_GB2312"/>
              </w:rPr>
              <w:t>学生签字：</w:t>
            </w:r>
          </w:p>
        </w:tc>
        <w:tc>
          <w:tcPr>
            <w:tcW w:w="4494" w:type="dxa"/>
            <w:vAlign w:val="top"/>
          </w:tcPr>
          <w:p>
            <w:pPr>
              <w:pStyle w:val="2"/>
              <w:adjustRightInd w:val="0"/>
              <w:snapToGrid w:val="0"/>
              <w:spacing w:before="0" w:beforeAutospacing="0" w:after="0" w:afterAutospacing="0" w:line="400" w:lineRule="exact"/>
              <w:rPr>
                <w:rFonts w:cs="仿宋_GB2312"/>
              </w:rPr>
            </w:pPr>
            <w:r>
              <w:rPr>
                <w:rFonts w:hint="eastAsia" w:cs="仿宋_GB2312"/>
              </w:rPr>
              <w:t>院（部）工作小组组长签字：</w:t>
            </w:r>
          </w:p>
        </w:tc>
      </w:tr>
      <w:tr>
        <w:tblPrEx>
          <w:tblLayout w:type="fixed"/>
          <w:tblCellMar>
            <w:top w:w="0" w:type="dxa"/>
            <w:left w:w="108" w:type="dxa"/>
            <w:bottom w:w="0" w:type="dxa"/>
            <w:right w:w="108" w:type="dxa"/>
          </w:tblCellMar>
        </w:tblPrEx>
        <w:tc>
          <w:tcPr>
            <w:tcW w:w="4261" w:type="dxa"/>
            <w:vAlign w:val="top"/>
          </w:tcPr>
          <w:p>
            <w:pPr>
              <w:pStyle w:val="2"/>
              <w:adjustRightInd w:val="0"/>
              <w:snapToGrid w:val="0"/>
              <w:spacing w:before="0" w:beforeAutospacing="0" w:after="0" w:afterAutospacing="0" w:line="400" w:lineRule="exact"/>
              <w:ind w:firstLine="480" w:firstLineChars="200"/>
              <w:jc w:val="center"/>
              <w:rPr>
                <w:rFonts w:cs="仿宋_GB2312"/>
              </w:rPr>
            </w:pPr>
            <w:r>
              <w:rPr>
                <w:rFonts w:hint="eastAsia" w:cs="仿宋_GB2312"/>
              </w:rPr>
              <w:t>年   月   日</w:t>
            </w:r>
          </w:p>
        </w:tc>
        <w:tc>
          <w:tcPr>
            <w:tcW w:w="4494" w:type="dxa"/>
            <w:vAlign w:val="top"/>
          </w:tcPr>
          <w:p>
            <w:pPr>
              <w:pStyle w:val="2"/>
              <w:adjustRightInd w:val="0"/>
              <w:snapToGrid w:val="0"/>
              <w:spacing w:before="0" w:beforeAutospacing="0" w:after="0" w:afterAutospacing="0" w:line="400" w:lineRule="exact"/>
              <w:ind w:firstLine="720" w:firstLineChars="300"/>
              <w:rPr>
                <w:rFonts w:cs="仿宋_GB2312"/>
              </w:rPr>
            </w:pPr>
            <w:r>
              <w:rPr>
                <w:rFonts w:hint="eastAsia" w:cs="仿宋_GB2312"/>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F3E4F"/>
    <w:rsid w:val="4C8F3E4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Hyperlink"/>
    <w:basedOn w:val="3"/>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2018-09-14T00:47:00Z</dcterms:created>
  <dc:creator>漪澜流清</dc:creator>
  <cp:lastModifiedBy>漪澜流清</cp:lastModifiedBy>
  <dcterms:modified xsi:type="dcterms:W3CDTF">2018-09-14T00:47:45Z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