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 w:cs="黑体"/>
          <w:sz w:val="24"/>
        </w:rPr>
        <w:t>附件</w:t>
      </w:r>
      <w:r>
        <w:rPr>
          <w:rFonts w:hint="eastAsia" w:ascii="宋体" w:hAnsi="宋体"/>
          <w:sz w:val="24"/>
        </w:rPr>
        <w:t>：</w:t>
      </w:r>
    </w:p>
    <w:p>
      <w:pPr>
        <w:overflowPunct w:val="0"/>
        <w:spacing w:line="400" w:lineRule="exact"/>
        <w:jc w:val="center"/>
        <w:rPr>
          <w:rFonts w:hint="eastAsia" w:ascii="宋体" w:hAnsi="宋体"/>
          <w:b/>
          <w:spacing w:val="-6"/>
          <w:sz w:val="36"/>
          <w:szCs w:val="36"/>
        </w:rPr>
      </w:pPr>
      <w:r>
        <w:rPr>
          <w:rFonts w:hint="eastAsia" w:ascii="宋体" w:hAnsi="宋体"/>
          <w:b/>
          <w:spacing w:val="-6"/>
          <w:sz w:val="36"/>
          <w:szCs w:val="36"/>
        </w:rPr>
        <w:t>长春建筑学院教学单位教学工作常态化评估指标体系</w:t>
      </w:r>
    </w:p>
    <w:p>
      <w:pPr>
        <w:overflowPunct w:val="0"/>
        <w:spacing w:line="400" w:lineRule="exact"/>
        <w:jc w:val="center"/>
        <w:rPr>
          <w:rFonts w:ascii="宋体" w:hAnsi="宋体"/>
          <w:b/>
          <w:spacing w:val="-6"/>
          <w:sz w:val="36"/>
          <w:szCs w:val="36"/>
        </w:rPr>
      </w:pPr>
    </w:p>
    <w:p>
      <w:pPr>
        <w:overflowPunct w:val="0"/>
        <w:spacing w:line="40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（一）基础性指标</w:t>
      </w:r>
    </w:p>
    <w:tbl>
      <w:tblPr>
        <w:tblStyle w:val="3"/>
        <w:tblW w:w="893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2268"/>
        <w:gridCol w:w="4395"/>
        <w:gridCol w:w="8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评估指标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评估要素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评估要点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定位与目标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教学单位办学定位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教学单位办学定位及确定依据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办学定位在教学单位发展规划中的体现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培养目标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教学单位人才培养目标及确定依据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专业培养目标、标准及确定依据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人才培养中心地位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落实人才培养中心地位的政策与措施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人才培养中心地位的体现与效果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教学单位领导对教学的重视情况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师资队伍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数量与结构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教师队伍的数量与结构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教师队伍建设规划及发展态势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教育教学水平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专任教师的专业水平与教学能力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师德师风建设措施与效果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教师教学投入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教授、副教授上课情况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教师开展教学研究、参与教学改革与建设情况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教师发展与服务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提升教师教学能力和专业水平的政策措施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服务教师职业生涯发展的政策措施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教学资源</w:t>
            </w:r>
          </w:p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教学设施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教学设施满足教学需要情况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教学设施的开放程度及利用情况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教学信息化条件及资源建设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专业设置与人才培养方案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专业建设规划与执行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专业设置与结构调整，优势专业、高水平专业与新专业建设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培养方案的制定、执行与调整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课程资源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课程建设规划与执行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课程的数量、结构及优质课程资源建设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教材建设与选用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社会资源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合作办学、引企入校、合作育人的措施与效果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共建教学资源情况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实践教学基地群建设与利用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培养过程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教学改革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教学改革的总体思路与政策措施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人才培养模式改革、人才培养体制、机制改革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教学及管理信息化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课堂教学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教学大纲的制定与执行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教学内容对人才培养目标的体现，科研转化教学情况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教师教学效果，学生学习状态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考试考核的方式改革及管理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实践教学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实践教学体系建设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实验教学与实验室开放情况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实习实训、社会实践、毕业设计（论文）的落实及效果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素质拓展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第二课堂体系建设与保障措施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组织参与学校社团、校园文化、各级各类科技活动及育人效果、学习型社团建设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学生国内外交流学习情况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学生发展（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学生指导与服务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学生指导与服务的内容与效果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学生指导与服务的组织与条件保障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学生指导与服务的评价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学风与学习效果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学风建设的措施与效果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学生学业成绩及综合素质表现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学生对自我学习与成长的满意度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就业与发展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毕业生就业率与职业发展情况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用人单位对毕业生的评价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质量保障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ind w:left="735" w:hanging="735" w:hangingChars="350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6.1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教学质量保障体</w:t>
            </w:r>
          </w:p>
          <w:p>
            <w:pPr>
              <w:widowControl/>
              <w:overflowPunct w:val="0"/>
              <w:spacing w:line="320" w:lineRule="exact"/>
              <w:ind w:left="823" w:leftChars="342" w:hanging="105" w:hangingChars="50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质量标准建设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质量保障体系的组织、制度建设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教学质量管理队伍建设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6.2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质量监控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自我评估及质量监控的内容与方式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自我评估及质量监控的实施效果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6.3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质量信息及利用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教学基本状态数据库建设情况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质量信息统计、分析、反馈机制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质量信息公开及年度质量报告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6.4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质量改进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质量改进的途径与方法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质量改进的效果与评价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7.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特色发展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总结教学单位在教育教学中的特色与经验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8.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问题与措施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针对影响教学质量的突出问题，分析主要原因，提出改进措施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0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评价分值合计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</w:tbl>
    <w:p>
      <w:pPr>
        <w:overflowPunct w:val="0"/>
        <w:spacing w:line="400" w:lineRule="exact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注：没有学生的教学单位，第</w:t>
      </w:r>
      <w:r>
        <w:rPr>
          <w:rFonts w:ascii="宋体" w:hAnsi="宋体" w:cs="仿宋_GB2312"/>
          <w:szCs w:val="21"/>
        </w:rPr>
        <w:t>5</w:t>
      </w:r>
      <w:r>
        <w:rPr>
          <w:rFonts w:hint="eastAsia" w:ascii="宋体" w:hAnsi="宋体" w:cs="仿宋_GB2312"/>
          <w:szCs w:val="21"/>
        </w:rPr>
        <w:t>项学生发展部分得分按全校当年各教学单位该项得分的平均值赋分。</w:t>
      </w:r>
    </w:p>
    <w:p>
      <w:pPr>
        <w:overflowPunct w:val="0"/>
        <w:spacing w:line="400" w:lineRule="exact"/>
        <w:rPr>
          <w:rFonts w:ascii="宋体" w:hAnsi="宋体" w:cs="仿宋_GB2312"/>
          <w:szCs w:val="21"/>
        </w:rPr>
      </w:pPr>
    </w:p>
    <w:p>
      <w:pPr>
        <w:overflowPunct w:val="0"/>
        <w:spacing w:line="400" w:lineRule="exact"/>
        <w:jc w:val="center"/>
        <w:rPr>
          <w:rFonts w:ascii="宋体" w:hAnsi="宋体"/>
          <w:b/>
          <w:spacing w:val="-6"/>
          <w:sz w:val="24"/>
        </w:rPr>
      </w:pPr>
      <w:r>
        <w:rPr>
          <w:rFonts w:hint="eastAsia" w:ascii="宋体" w:hAnsi="宋体"/>
          <w:b/>
          <w:spacing w:val="-6"/>
          <w:sz w:val="24"/>
        </w:rPr>
        <w:t>（二）发展性指标</w:t>
      </w:r>
    </w:p>
    <w:tbl>
      <w:tblPr>
        <w:tblStyle w:val="3"/>
        <w:tblpPr w:leftFromText="180" w:rightFromText="180" w:vertAnchor="text" w:horzAnchor="margin" w:tblpXSpec="center" w:tblpY="158"/>
        <w:tblW w:w="89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4467"/>
        <w:gridCol w:w="1203"/>
        <w:gridCol w:w="1134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评估指标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指标参考内容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参考分值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专业建设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当年新增省级及以上创新改革实验区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当年新增省级及以上专业综合改革试点项目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当年获省级及以上高水平专业、品牌专业、特色专业等称号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8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当年新增省级及以上校外实践教育基地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当年新增省级及以上卓越工程师教育培养计划专业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1.6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当年新增省级及以上实验教学示范中心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1.7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新增专业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8A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1.8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引企入校数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4B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1.9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新建校外实践基地数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1.10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新增高水平专业数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8E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1.11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新增校企合作数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5F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课程建设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当年新增省级及以上精品课程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当年新增校级精品课程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当年新增省级及以上在线课程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当年新增省级及以上规划教材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与企业合作开发课程门数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10A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2.6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课程改革门数（教学内容、课程考核方式改革等）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5B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2.7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自编出版教材数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8C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教师发展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当年新增国家级教学名师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当年新增省级教学名师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当年新增国家级优秀教学团队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当年新增省级优秀教学团队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教师发展</w:t>
            </w:r>
          </w:p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新增“双师型”教师数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3.6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当年获校级以上师德荣誉称号教师数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10B+8C+5D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3.7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当年访学教师数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10E+8F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3.8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当年新增研究生以上学历教师数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10G+5H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3.9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当年新增副高级以上教师数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4J+8K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教学成果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当年获国家级教学成果奖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当年获省级教学成果奖（一、二、三等奖）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当年国家级教学技能大赛（含微课、多媒体课件、说课）获奖人数（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8A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当年省级教学技能大赛（同上）获奖人数（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当年校级教学技能大赛（同上）获奖人数（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4.6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当年新增校级、省级教改立项课题数（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D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4.7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当年教师在核心期刊发表教学论文数量（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E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2E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4.8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当年教师在省级期刊发表教学论文数量（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F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1F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4.9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当年获省级以上教材奖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培养成效</w:t>
            </w:r>
          </w:p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当年学生获国家级学科、科技文化、体育类竞赛奖项（一、二、三等奖）的数量（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5A+4B+3C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ind w:left="-368" w:leftChars="-175" w:firstLine="321" w:firstLineChars="153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当年学生获省级学科、科技文化、体育类竞赛奖项（一、二、三等奖）的数量（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3A+2B+1C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当年学生获得专利数量（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D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5.4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当年学生在省级期刊发表论文数量（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E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2E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5.5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当年学生获省级“双创”奖项（一、二、三等奖）的数量（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3A+2B+1C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5.6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当年毕业生一次毕业率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0-5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5.7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当年毕业生初次就业率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0-5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5.8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当年毕业生考研率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0-8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减分情况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6.1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当年发生教学事故或受全校通报批评的教师人数（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-1A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6.2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当年由于教学管理原因，分院受到通报批评次数（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-4B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6.3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当年学生考试违纪、作弊人数（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>-1C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6.4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当年留级学生人数（</w:t>
            </w:r>
            <w:r>
              <w:rPr>
                <w:rFonts w:ascii="宋体" w:hAnsi="宋体" w:cs="仿宋_GB2312"/>
                <w:color w:val="000000"/>
                <w:szCs w:val="21"/>
              </w:rPr>
              <w:t>D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-1D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7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评价分值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</w:tbl>
    <w:p>
      <w:pPr>
        <w:overflowPunct w:val="0"/>
        <w:spacing w:line="400" w:lineRule="exact"/>
        <w:textAlignment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注：</w:t>
      </w:r>
    </w:p>
    <w:p>
      <w:pPr>
        <w:overflowPunct w:val="0"/>
        <w:spacing w:line="400" w:lineRule="exact"/>
        <w:ind w:firstLine="420" w:firstLineChars="200"/>
        <w:textAlignment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ascii="宋体" w:hAnsi="宋体" w:cs="仿宋_GB2312"/>
          <w:color w:val="000000"/>
          <w:kern w:val="0"/>
          <w:szCs w:val="21"/>
        </w:rPr>
        <w:t>1.</w:t>
      </w:r>
      <w:r>
        <w:rPr>
          <w:rFonts w:hint="eastAsia" w:ascii="宋体" w:hAnsi="宋体" w:cs="仿宋_GB2312"/>
          <w:color w:val="000000"/>
          <w:kern w:val="0"/>
          <w:szCs w:val="21"/>
        </w:rPr>
        <w:t>当年分院毕业生一次毕业率（指标</w:t>
      </w:r>
      <w:r>
        <w:rPr>
          <w:rFonts w:ascii="宋体" w:hAnsi="宋体" w:cs="仿宋_GB2312"/>
          <w:color w:val="000000"/>
          <w:kern w:val="0"/>
          <w:szCs w:val="21"/>
        </w:rPr>
        <w:t>5.6</w:t>
      </w:r>
      <w:r>
        <w:rPr>
          <w:rFonts w:hint="eastAsia" w:ascii="宋体" w:hAnsi="宋体" w:cs="仿宋_GB2312"/>
          <w:color w:val="000000"/>
          <w:kern w:val="0"/>
          <w:szCs w:val="21"/>
        </w:rPr>
        <w:t>，四舍五入取整）每高于学校毕业生平均一次毕业率</w:t>
      </w:r>
      <w:r>
        <w:rPr>
          <w:rFonts w:ascii="宋体" w:hAnsi="宋体" w:cs="仿宋_GB2312"/>
          <w:color w:val="000000"/>
          <w:kern w:val="0"/>
          <w:szCs w:val="21"/>
        </w:rPr>
        <w:t>1</w:t>
      </w:r>
      <w:r>
        <w:rPr>
          <w:rFonts w:hint="eastAsia" w:ascii="宋体" w:hAnsi="宋体" w:cs="仿宋_GB2312"/>
          <w:color w:val="000000"/>
          <w:kern w:val="0"/>
          <w:szCs w:val="21"/>
        </w:rPr>
        <w:t>个百分点得</w:t>
      </w:r>
      <w:r>
        <w:rPr>
          <w:rFonts w:ascii="宋体" w:hAnsi="宋体" w:cs="仿宋_GB2312"/>
          <w:color w:val="000000"/>
          <w:kern w:val="0"/>
          <w:szCs w:val="21"/>
        </w:rPr>
        <w:t>1</w:t>
      </w:r>
      <w:r>
        <w:rPr>
          <w:rFonts w:hint="eastAsia" w:ascii="宋体" w:hAnsi="宋体" w:cs="仿宋_GB2312"/>
          <w:color w:val="000000"/>
          <w:kern w:val="0"/>
          <w:szCs w:val="21"/>
        </w:rPr>
        <w:t>分，最高上限为</w:t>
      </w:r>
      <w:r>
        <w:rPr>
          <w:rFonts w:ascii="宋体" w:hAnsi="宋体" w:cs="仿宋_GB2312"/>
          <w:color w:val="000000"/>
          <w:kern w:val="0"/>
          <w:szCs w:val="21"/>
        </w:rPr>
        <w:t>5</w:t>
      </w:r>
      <w:r>
        <w:rPr>
          <w:rFonts w:hint="eastAsia" w:ascii="宋体" w:hAnsi="宋体" w:cs="仿宋_GB2312"/>
          <w:color w:val="000000"/>
          <w:kern w:val="0"/>
          <w:szCs w:val="21"/>
        </w:rPr>
        <w:t>分。</w:t>
      </w:r>
    </w:p>
    <w:p>
      <w:pPr>
        <w:overflowPunct w:val="0"/>
        <w:spacing w:line="400" w:lineRule="exact"/>
        <w:ind w:firstLine="420" w:firstLineChars="200"/>
        <w:textAlignment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ascii="宋体" w:hAnsi="宋体" w:cs="仿宋_GB2312"/>
          <w:color w:val="000000"/>
          <w:kern w:val="0"/>
          <w:szCs w:val="21"/>
        </w:rPr>
        <w:t>2.</w:t>
      </w:r>
      <w:r>
        <w:rPr>
          <w:rFonts w:hint="eastAsia" w:ascii="宋体" w:hAnsi="宋体" w:cs="仿宋_GB2312"/>
          <w:color w:val="000000"/>
          <w:kern w:val="0"/>
          <w:szCs w:val="21"/>
        </w:rPr>
        <w:t>当年分院毕业生初次就业率（指标</w:t>
      </w:r>
      <w:r>
        <w:rPr>
          <w:rFonts w:ascii="宋体" w:hAnsi="宋体" w:cs="仿宋_GB2312"/>
          <w:color w:val="000000"/>
          <w:kern w:val="0"/>
          <w:szCs w:val="21"/>
        </w:rPr>
        <w:t>5.7</w:t>
      </w:r>
      <w:r>
        <w:rPr>
          <w:rFonts w:hint="eastAsia" w:ascii="宋体" w:hAnsi="宋体" w:cs="仿宋_GB2312"/>
          <w:color w:val="000000"/>
          <w:kern w:val="0"/>
          <w:szCs w:val="21"/>
        </w:rPr>
        <w:t>，四舍五入取整）每高于全省平均初次就业率</w:t>
      </w:r>
      <w:r>
        <w:rPr>
          <w:rFonts w:ascii="宋体" w:hAnsi="宋体" w:cs="仿宋_GB2312"/>
          <w:color w:val="000000"/>
          <w:kern w:val="0"/>
          <w:szCs w:val="21"/>
        </w:rPr>
        <w:t>1</w:t>
      </w:r>
      <w:r>
        <w:rPr>
          <w:rFonts w:hint="eastAsia" w:ascii="宋体" w:hAnsi="宋体" w:cs="仿宋_GB2312"/>
          <w:color w:val="000000"/>
          <w:kern w:val="0"/>
          <w:szCs w:val="21"/>
        </w:rPr>
        <w:t>个百分点得</w:t>
      </w:r>
      <w:r>
        <w:rPr>
          <w:rFonts w:ascii="宋体" w:hAnsi="宋体" w:cs="仿宋_GB2312"/>
          <w:color w:val="000000"/>
          <w:kern w:val="0"/>
          <w:szCs w:val="21"/>
        </w:rPr>
        <w:t>1</w:t>
      </w:r>
      <w:r>
        <w:rPr>
          <w:rFonts w:hint="eastAsia" w:ascii="宋体" w:hAnsi="宋体" w:cs="仿宋_GB2312"/>
          <w:color w:val="000000"/>
          <w:kern w:val="0"/>
          <w:szCs w:val="21"/>
        </w:rPr>
        <w:t>分，最高上限为</w:t>
      </w:r>
      <w:r>
        <w:rPr>
          <w:rFonts w:ascii="宋体" w:hAnsi="宋体" w:cs="仿宋_GB2312"/>
          <w:color w:val="000000"/>
          <w:kern w:val="0"/>
          <w:szCs w:val="21"/>
        </w:rPr>
        <w:t>5</w:t>
      </w:r>
      <w:r>
        <w:rPr>
          <w:rFonts w:hint="eastAsia" w:ascii="宋体" w:hAnsi="宋体" w:cs="仿宋_GB2312"/>
          <w:color w:val="000000"/>
          <w:kern w:val="0"/>
          <w:szCs w:val="21"/>
        </w:rPr>
        <w:t>分。</w:t>
      </w:r>
    </w:p>
    <w:p>
      <w:pPr>
        <w:overflowPunct w:val="0"/>
        <w:spacing w:line="400" w:lineRule="exact"/>
        <w:ind w:firstLine="420" w:firstLineChars="200"/>
        <w:jc w:val="left"/>
        <w:textAlignment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ascii="宋体" w:hAnsi="宋体" w:cs="仿宋_GB2312"/>
          <w:color w:val="000000"/>
          <w:kern w:val="0"/>
          <w:szCs w:val="21"/>
        </w:rPr>
        <w:t>3.</w:t>
      </w:r>
      <w:r>
        <w:rPr>
          <w:rFonts w:hint="eastAsia" w:ascii="宋体" w:hAnsi="宋体" w:cs="仿宋_GB2312"/>
          <w:color w:val="000000"/>
          <w:kern w:val="0"/>
          <w:szCs w:val="21"/>
        </w:rPr>
        <w:t>当年毕业生考研率（指标</w:t>
      </w:r>
      <w:r>
        <w:rPr>
          <w:rFonts w:ascii="宋体" w:hAnsi="宋体" w:cs="仿宋_GB2312"/>
          <w:color w:val="000000"/>
          <w:kern w:val="0"/>
          <w:szCs w:val="21"/>
        </w:rPr>
        <w:t>5.8</w:t>
      </w:r>
      <w:r>
        <w:rPr>
          <w:rFonts w:hint="eastAsia" w:ascii="宋体" w:hAnsi="宋体" w:cs="仿宋_GB2312"/>
          <w:color w:val="000000"/>
          <w:kern w:val="0"/>
          <w:szCs w:val="21"/>
        </w:rPr>
        <w:t>）</w:t>
      </w:r>
      <w:r>
        <w:rPr>
          <w:rFonts w:ascii="宋体" w:hAnsi="宋体" w:cs="仿宋_GB2312"/>
          <w:color w:val="000000"/>
          <w:kern w:val="0"/>
          <w:szCs w:val="21"/>
        </w:rPr>
        <w:t>10%</w:t>
      </w:r>
      <w:r>
        <w:rPr>
          <w:rFonts w:hint="eastAsia" w:ascii="宋体" w:hAnsi="宋体" w:cs="仿宋_GB2312"/>
          <w:color w:val="000000"/>
          <w:kern w:val="0"/>
          <w:szCs w:val="21"/>
        </w:rPr>
        <w:t>以上得</w:t>
      </w:r>
      <w:r>
        <w:rPr>
          <w:rFonts w:ascii="宋体" w:hAnsi="宋体" w:cs="仿宋_GB2312"/>
          <w:color w:val="000000"/>
          <w:kern w:val="0"/>
          <w:szCs w:val="21"/>
        </w:rPr>
        <w:t>8</w:t>
      </w:r>
      <w:r>
        <w:rPr>
          <w:rFonts w:hint="eastAsia" w:ascii="宋体" w:hAnsi="宋体" w:cs="仿宋_GB2312"/>
          <w:color w:val="000000"/>
          <w:kern w:val="0"/>
          <w:szCs w:val="21"/>
        </w:rPr>
        <w:t>分，每降低一个百分点（四舍五入取整）得分递减</w:t>
      </w:r>
      <w:r>
        <w:rPr>
          <w:rFonts w:ascii="宋体" w:hAnsi="宋体" w:cs="仿宋_GB2312"/>
          <w:color w:val="000000"/>
          <w:kern w:val="0"/>
          <w:szCs w:val="21"/>
        </w:rPr>
        <w:t>1</w:t>
      </w:r>
      <w:r>
        <w:rPr>
          <w:rFonts w:hint="eastAsia" w:ascii="宋体" w:hAnsi="宋体" w:cs="仿宋_GB2312"/>
          <w:color w:val="000000"/>
          <w:kern w:val="0"/>
          <w:szCs w:val="21"/>
        </w:rPr>
        <w:t>分，</w:t>
      </w:r>
      <w:r>
        <w:rPr>
          <w:rFonts w:ascii="宋体" w:hAnsi="宋体" w:cs="仿宋_GB2312"/>
          <w:color w:val="000000"/>
          <w:kern w:val="0"/>
          <w:szCs w:val="21"/>
        </w:rPr>
        <w:t>3%</w:t>
      </w:r>
      <w:r>
        <w:rPr>
          <w:rFonts w:hint="eastAsia" w:ascii="宋体" w:hAnsi="宋体" w:cs="仿宋_GB2312"/>
          <w:color w:val="000000"/>
          <w:kern w:val="0"/>
          <w:szCs w:val="21"/>
        </w:rPr>
        <w:t>以下（不含</w:t>
      </w:r>
      <w:r>
        <w:rPr>
          <w:rFonts w:ascii="宋体" w:hAnsi="宋体" w:cs="仿宋_GB2312"/>
          <w:color w:val="000000"/>
          <w:kern w:val="0"/>
          <w:szCs w:val="21"/>
        </w:rPr>
        <w:t>3%</w:t>
      </w:r>
      <w:r>
        <w:rPr>
          <w:rFonts w:hint="eastAsia" w:ascii="宋体" w:hAnsi="宋体" w:cs="仿宋_GB2312"/>
          <w:color w:val="000000"/>
          <w:kern w:val="0"/>
          <w:szCs w:val="21"/>
        </w:rPr>
        <w:t>）不得分。</w:t>
      </w:r>
    </w:p>
    <w:p>
      <w:pPr>
        <w:overflowPunct w:val="0"/>
        <w:spacing w:line="400" w:lineRule="exact"/>
        <w:ind w:firstLine="420" w:firstLineChars="200"/>
        <w:jc w:val="left"/>
        <w:textAlignment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ascii="宋体" w:hAnsi="宋体" w:cs="仿宋_GB2312"/>
          <w:color w:val="000000"/>
          <w:kern w:val="0"/>
          <w:szCs w:val="21"/>
        </w:rPr>
        <w:t>4.</w:t>
      </w:r>
      <w:r>
        <w:rPr>
          <w:rFonts w:hint="eastAsia" w:ascii="宋体" w:hAnsi="宋体" w:cs="仿宋_GB2312"/>
          <w:color w:val="000000"/>
          <w:kern w:val="0"/>
          <w:szCs w:val="21"/>
        </w:rPr>
        <w:t>为引领教学单位质量要素均衡发展，五类评估指标，每类满分为</w:t>
      </w:r>
      <w:r>
        <w:rPr>
          <w:rFonts w:ascii="宋体" w:hAnsi="宋体" w:cs="仿宋_GB2312"/>
          <w:color w:val="000000"/>
          <w:kern w:val="0"/>
          <w:szCs w:val="21"/>
        </w:rPr>
        <w:t>20</w:t>
      </w:r>
      <w:r>
        <w:rPr>
          <w:rFonts w:hint="eastAsia" w:ascii="宋体" w:hAnsi="宋体" w:cs="仿宋_GB2312"/>
          <w:color w:val="000000"/>
          <w:kern w:val="0"/>
          <w:szCs w:val="21"/>
        </w:rPr>
        <w:t>分，合计超过</w:t>
      </w:r>
      <w:r>
        <w:rPr>
          <w:rFonts w:ascii="宋体" w:hAnsi="宋体" w:cs="仿宋_GB2312"/>
          <w:color w:val="000000"/>
          <w:kern w:val="0"/>
          <w:szCs w:val="21"/>
        </w:rPr>
        <w:t>20</w:t>
      </w:r>
      <w:r>
        <w:rPr>
          <w:rFonts w:hint="eastAsia" w:ascii="宋体" w:hAnsi="宋体" w:cs="仿宋_GB2312"/>
          <w:color w:val="000000"/>
          <w:kern w:val="0"/>
          <w:szCs w:val="21"/>
        </w:rPr>
        <w:t>分按</w:t>
      </w:r>
      <w:r>
        <w:rPr>
          <w:rFonts w:ascii="宋体" w:hAnsi="宋体" w:cs="仿宋_GB2312"/>
          <w:color w:val="000000"/>
          <w:kern w:val="0"/>
          <w:szCs w:val="21"/>
        </w:rPr>
        <w:t>20</w:t>
      </w:r>
      <w:r>
        <w:rPr>
          <w:rFonts w:hint="eastAsia" w:ascii="宋体" w:hAnsi="宋体" w:cs="仿宋_GB2312"/>
          <w:color w:val="000000"/>
          <w:kern w:val="0"/>
          <w:szCs w:val="21"/>
        </w:rPr>
        <w:t>分记。第六类减分情况满分为</w:t>
      </w:r>
      <w:r>
        <w:rPr>
          <w:rFonts w:ascii="宋体" w:hAnsi="宋体" w:cs="仿宋_GB2312"/>
          <w:color w:val="000000"/>
          <w:kern w:val="0"/>
          <w:szCs w:val="21"/>
        </w:rPr>
        <w:t>-10</w:t>
      </w:r>
      <w:r>
        <w:rPr>
          <w:rFonts w:hint="eastAsia" w:ascii="宋体" w:hAnsi="宋体" w:cs="仿宋_GB2312"/>
          <w:color w:val="000000"/>
          <w:kern w:val="0"/>
          <w:szCs w:val="21"/>
        </w:rPr>
        <w:t>分，合计超过</w:t>
      </w:r>
      <w:r>
        <w:rPr>
          <w:rFonts w:ascii="宋体" w:hAnsi="宋体" w:cs="仿宋_GB2312"/>
          <w:color w:val="000000"/>
          <w:kern w:val="0"/>
          <w:szCs w:val="21"/>
        </w:rPr>
        <w:t>-10</w:t>
      </w:r>
      <w:r>
        <w:rPr>
          <w:rFonts w:hint="eastAsia" w:ascii="宋体" w:hAnsi="宋体" w:cs="仿宋_GB2312"/>
          <w:color w:val="000000"/>
          <w:kern w:val="0"/>
          <w:szCs w:val="21"/>
        </w:rPr>
        <w:t>分按</w:t>
      </w:r>
      <w:r>
        <w:rPr>
          <w:rFonts w:ascii="宋体" w:hAnsi="宋体" w:cs="仿宋_GB2312"/>
          <w:color w:val="000000"/>
          <w:kern w:val="0"/>
          <w:szCs w:val="21"/>
        </w:rPr>
        <w:t>-10</w:t>
      </w:r>
      <w:r>
        <w:rPr>
          <w:rFonts w:hint="eastAsia" w:ascii="宋体" w:hAnsi="宋体" w:cs="仿宋_GB2312"/>
          <w:color w:val="000000"/>
          <w:kern w:val="0"/>
          <w:szCs w:val="21"/>
        </w:rPr>
        <w:t>分记。</w:t>
      </w:r>
    </w:p>
    <w:p>
      <w:pPr>
        <w:overflowPunct w:val="0"/>
        <w:spacing w:line="400" w:lineRule="exact"/>
        <w:ind w:firstLine="420" w:firstLineChars="200"/>
        <w:textAlignment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ascii="宋体" w:hAnsi="宋体" w:cs="仿宋_GB2312"/>
          <w:color w:val="000000"/>
          <w:kern w:val="0"/>
          <w:szCs w:val="21"/>
        </w:rPr>
        <w:t>5.</w:t>
      </w:r>
      <w:r>
        <w:rPr>
          <w:rFonts w:hint="eastAsia" w:ascii="宋体" w:hAnsi="宋体" w:cs="仿宋_GB2312"/>
          <w:color w:val="000000"/>
          <w:kern w:val="0"/>
          <w:szCs w:val="21"/>
        </w:rPr>
        <w:t>教师发表论文统计截止时间为当年</w:t>
      </w:r>
      <w:r>
        <w:rPr>
          <w:rFonts w:ascii="宋体" w:hAnsi="宋体" w:cs="仿宋_GB2312"/>
          <w:color w:val="000000"/>
          <w:kern w:val="0"/>
          <w:szCs w:val="21"/>
        </w:rPr>
        <w:t>3</w:t>
      </w:r>
      <w:r>
        <w:rPr>
          <w:rFonts w:hint="eastAsia" w:ascii="宋体" w:hAnsi="宋体" w:cs="仿宋_GB2312"/>
          <w:color w:val="000000"/>
          <w:kern w:val="0"/>
          <w:szCs w:val="21"/>
        </w:rPr>
        <w:t>月底；学生发表论文统计截止时间为</w:t>
      </w:r>
      <w:r>
        <w:rPr>
          <w:rFonts w:ascii="宋体" w:hAnsi="宋体" w:cs="仿宋_GB2312"/>
          <w:color w:val="000000"/>
          <w:kern w:val="0"/>
          <w:szCs w:val="21"/>
        </w:rPr>
        <w:t>11</w:t>
      </w:r>
      <w:r>
        <w:rPr>
          <w:rFonts w:hint="eastAsia" w:ascii="宋体" w:hAnsi="宋体" w:cs="仿宋_GB2312"/>
          <w:color w:val="000000"/>
          <w:kern w:val="0"/>
          <w:szCs w:val="21"/>
        </w:rPr>
        <w:t>月底。</w:t>
      </w:r>
    </w:p>
    <w:p>
      <w:pPr>
        <w:overflowPunct w:val="0"/>
        <w:spacing w:line="400" w:lineRule="exact"/>
        <w:ind w:firstLine="420" w:firstLineChars="200"/>
        <w:textAlignment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ascii="宋体" w:hAnsi="宋体" w:cs="仿宋_GB2312"/>
          <w:color w:val="000000"/>
          <w:kern w:val="0"/>
          <w:szCs w:val="21"/>
        </w:rPr>
        <w:t>6.</w:t>
      </w:r>
      <w:r>
        <w:rPr>
          <w:rFonts w:hint="eastAsia" w:ascii="宋体" w:hAnsi="宋体" w:cs="仿宋_GB2312"/>
          <w:color w:val="000000"/>
          <w:kern w:val="0"/>
          <w:szCs w:val="21"/>
        </w:rPr>
        <w:t>以上同一奖项、称号分别获不同级别时，以高级别计算一次。</w:t>
      </w:r>
    </w:p>
    <w:p>
      <w:pPr>
        <w:overflowPunct w:val="0"/>
        <w:spacing w:line="400" w:lineRule="exact"/>
        <w:ind w:firstLine="420" w:firstLineChars="200"/>
        <w:textAlignment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ascii="宋体" w:hAnsi="宋体" w:cs="仿宋_GB2312"/>
          <w:color w:val="000000"/>
          <w:kern w:val="0"/>
          <w:szCs w:val="21"/>
        </w:rPr>
        <w:t>7.</w:t>
      </w:r>
      <w:r>
        <w:rPr>
          <w:rFonts w:hint="eastAsia" w:ascii="宋体" w:hAnsi="宋体" w:cs="仿宋_GB2312"/>
          <w:color w:val="000000"/>
          <w:kern w:val="0"/>
          <w:szCs w:val="21"/>
        </w:rPr>
        <w:t>以上项目参考分值具有区间分值的，按照省级项目取低值，国家级项目取高值赋予分值。</w:t>
      </w:r>
    </w:p>
    <w:p>
      <w:pPr>
        <w:overflowPunct w:val="0"/>
        <w:spacing w:line="400" w:lineRule="exact"/>
        <w:ind w:firstLine="420" w:firstLineChars="200"/>
        <w:textAlignment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ascii="宋体" w:hAnsi="宋体" w:cs="仿宋_GB2312"/>
          <w:color w:val="000000"/>
          <w:kern w:val="0"/>
          <w:szCs w:val="21"/>
        </w:rPr>
        <w:t>8.</w:t>
      </w:r>
      <w:r>
        <w:rPr>
          <w:rFonts w:hint="eastAsia" w:ascii="宋体" w:hAnsi="宋体" w:cs="仿宋_GB2312"/>
          <w:color w:val="000000"/>
          <w:kern w:val="0"/>
          <w:szCs w:val="21"/>
        </w:rPr>
        <w:t>没有学生的教学单位第</w:t>
      </w:r>
      <w:r>
        <w:rPr>
          <w:rFonts w:ascii="宋体" w:hAnsi="宋体" w:cs="仿宋_GB2312"/>
          <w:color w:val="000000"/>
          <w:kern w:val="0"/>
          <w:szCs w:val="21"/>
        </w:rPr>
        <w:t>5</w:t>
      </w:r>
      <w:r>
        <w:rPr>
          <w:rFonts w:hint="eastAsia" w:ascii="宋体" w:hAnsi="宋体" w:cs="仿宋_GB2312"/>
          <w:color w:val="000000"/>
          <w:kern w:val="0"/>
          <w:szCs w:val="21"/>
        </w:rPr>
        <w:t>项培养成效得分按全校当年各分院该项得分的平均值赋分。</w:t>
      </w:r>
    </w:p>
    <w:p>
      <w:pPr>
        <w:spacing w:line="400" w:lineRule="exact"/>
        <w:ind w:firstLine="420" w:firstLineChars="200"/>
        <w:rPr>
          <w:rFonts w:ascii="宋体" w:hAnsi="宋体" w:cs="仿宋_GB2312"/>
          <w:color w:val="000000"/>
          <w:kern w:val="0"/>
          <w:szCs w:val="21"/>
        </w:rPr>
      </w:pPr>
      <w:r>
        <w:rPr>
          <w:rFonts w:ascii="宋体" w:hAnsi="宋体" w:cs="仿宋_GB2312"/>
          <w:color w:val="000000"/>
          <w:kern w:val="0"/>
          <w:szCs w:val="21"/>
        </w:rPr>
        <w:t>9.</w:t>
      </w:r>
      <w:r>
        <w:rPr>
          <w:rFonts w:hint="eastAsia" w:ascii="宋体" w:hAnsi="宋体" w:cs="仿宋_GB2312"/>
          <w:color w:val="000000"/>
          <w:kern w:val="0"/>
          <w:szCs w:val="21"/>
        </w:rPr>
        <w:t>表中</w:t>
      </w:r>
      <w:r>
        <w:rPr>
          <w:rFonts w:ascii="宋体" w:hAnsi="宋体" w:cs="仿宋_GB2312"/>
          <w:color w:val="000000"/>
          <w:kern w:val="0"/>
          <w:szCs w:val="21"/>
        </w:rPr>
        <w:t>A</w:t>
      </w:r>
      <w:r>
        <w:rPr>
          <w:rFonts w:hint="eastAsia" w:ascii="宋体" w:hAnsi="宋体" w:cs="仿宋_GB2312"/>
          <w:color w:val="000000"/>
          <w:kern w:val="0"/>
          <w:szCs w:val="21"/>
        </w:rPr>
        <w:t>、</w:t>
      </w:r>
      <w:r>
        <w:rPr>
          <w:rFonts w:ascii="宋体" w:hAnsi="宋体" w:cs="仿宋_GB2312"/>
          <w:color w:val="000000"/>
          <w:kern w:val="0"/>
          <w:szCs w:val="21"/>
        </w:rPr>
        <w:t>B</w:t>
      </w:r>
      <w:r>
        <w:rPr>
          <w:rFonts w:hint="eastAsia" w:ascii="宋体" w:hAnsi="宋体" w:cs="仿宋_GB2312"/>
          <w:color w:val="000000"/>
          <w:kern w:val="0"/>
          <w:szCs w:val="21"/>
        </w:rPr>
        <w:t>、</w:t>
      </w:r>
      <w:r>
        <w:rPr>
          <w:rFonts w:ascii="宋体" w:hAnsi="宋体" w:cs="仿宋_GB2312"/>
          <w:color w:val="000000"/>
          <w:kern w:val="0"/>
          <w:szCs w:val="21"/>
        </w:rPr>
        <w:t>C</w:t>
      </w:r>
      <w:r>
        <w:rPr>
          <w:rFonts w:hint="eastAsia" w:ascii="宋体" w:hAnsi="宋体" w:cs="仿宋_GB2312"/>
          <w:color w:val="000000"/>
          <w:kern w:val="0"/>
          <w:szCs w:val="21"/>
        </w:rPr>
        <w:t>、</w:t>
      </w:r>
      <w:r>
        <w:rPr>
          <w:rFonts w:ascii="宋体" w:hAnsi="宋体" w:cs="仿宋_GB2312"/>
          <w:color w:val="000000"/>
          <w:kern w:val="0"/>
          <w:szCs w:val="21"/>
        </w:rPr>
        <w:t>D……</w:t>
      </w:r>
      <w:r>
        <w:rPr>
          <w:rFonts w:hint="eastAsia" w:ascii="宋体" w:hAnsi="宋体" w:cs="仿宋_GB2312"/>
          <w:color w:val="000000"/>
          <w:kern w:val="0"/>
          <w:szCs w:val="21"/>
        </w:rPr>
        <w:t>均代表数量。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918E5"/>
    <w:rsid w:val="06C918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2018-09-13T12:36:00Z</dcterms:created>
  <dc:creator>朴一龙</dc:creator>
  <cp:lastModifiedBy>朴一龙</cp:lastModifiedBy>
  <dcterms:modified xsi:type="dcterms:W3CDTF">2018-09-13T12:36:50Z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