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ascii="仿宋" w:hAnsi="仿宋" w:eastAsia="仿宋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b/>
          <w:bCs/>
          <w:sz w:val="30"/>
          <w:szCs w:val="30"/>
        </w:rPr>
        <w:t>附件1：</w:t>
      </w:r>
    </w:p>
    <w:p>
      <w:pPr>
        <w:spacing w:line="5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  <w:lang w:eastAsia="zh-CN"/>
        </w:rPr>
        <w:t>长春建筑学院</w:t>
      </w:r>
      <w:r>
        <w:rPr>
          <w:rFonts w:hint="eastAsia" w:ascii="仿宋" w:hAnsi="仿宋" w:eastAsia="仿宋"/>
          <w:b/>
          <w:bCs/>
          <w:sz w:val="36"/>
          <w:szCs w:val="36"/>
        </w:rPr>
        <w:t>教师说课大赛汇总表</w:t>
      </w:r>
    </w:p>
    <w:p>
      <w:pPr>
        <w:adjustRightInd w:val="0"/>
        <w:snapToGrid w:val="0"/>
        <w:spacing w:after="159" w:afterLines="50" w:line="500" w:lineRule="exact"/>
        <w:rPr>
          <w:rFonts w:ascii="仿宋" w:hAnsi="仿宋" w:eastAsia="仿宋"/>
          <w:sz w:val="24"/>
        </w:rPr>
      </w:pPr>
    </w:p>
    <w:p>
      <w:pPr>
        <w:adjustRightInd w:val="0"/>
        <w:snapToGrid w:val="0"/>
        <w:spacing w:after="159" w:afterLines="50" w:line="500" w:lineRule="exact"/>
        <w:rPr>
          <w:rFonts w:ascii="仿宋" w:hAnsi="仿宋" w:eastAsia="仿宋"/>
          <w:b/>
          <w:bCs/>
          <w:sz w:val="30"/>
          <w:szCs w:val="30"/>
          <w:u w:val="single"/>
        </w:rPr>
      </w:pPr>
      <w:r>
        <w:rPr>
          <w:rFonts w:hint="eastAsia" w:ascii="仿宋" w:hAnsi="仿宋" w:eastAsia="仿宋"/>
          <w:sz w:val="24"/>
        </w:rPr>
        <w:t>单位名称：</w:t>
      </w:r>
      <w:r>
        <w:rPr>
          <w:rFonts w:hint="eastAsia" w:ascii="仿宋" w:hAnsi="仿宋" w:eastAsia="仿宋"/>
          <w:sz w:val="24"/>
          <w:u w:val="single"/>
        </w:rPr>
        <w:t xml:space="preserve">       </w:t>
      </w:r>
      <w:r>
        <w:rPr>
          <w:rFonts w:ascii="仿宋" w:hAnsi="仿宋" w:eastAsia="仿宋"/>
          <w:sz w:val="24"/>
          <w:u w:val="single"/>
        </w:rPr>
        <w:t xml:space="preserve">            </w:t>
      </w:r>
      <w:r>
        <w:rPr>
          <w:rFonts w:hint="eastAsia" w:ascii="仿宋" w:hAnsi="仿宋" w:eastAsia="仿宋"/>
          <w:sz w:val="24"/>
          <w:u w:val="single"/>
        </w:rPr>
        <w:t xml:space="preserve">  </w:t>
      </w:r>
      <w:r>
        <w:rPr>
          <w:rFonts w:hint="eastAsia" w:ascii="仿宋" w:hAnsi="仿宋" w:eastAsia="仿宋"/>
          <w:sz w:val="24"/>
        </w:rPr>
        <w:t>（盖章）             联系人姓名：</w:t>
      </w:r>
      <w:r>
        <w:rPr>
          <w:rFonts w:hint="eastAsia" w:ascii="仿宋" w:hAnsi="仿宋" w:eastAsia="仿宋"/>
          <w:sz w:val="24"/>
          <w:u w:val="single"/>
        </w:rPr>
        <w:t xml:space="preserve">           </w:t>
      </w:r>
      <w:r>
        <w:rPr>
          <w:rFonts w:hint="eastAsia" w:ascii="仿宋" w:hAnsi="仿宋" w:eastAsia="仿宋"/>
          <w:sz w:val="24"/>
        </w:rPr>
        <w:t>联系电话：</w:t>
      </w:r>
      <w:r>
        <w:rPr>
          <w:rFonts w:hint="eastAsia" w:ascii="仿宋" w:hAnsi="仿宋" w:eastAsia="仿宋"/>
          <w:sz w:val="24"/>
          <w:u w:val="single"/>
        </w:rPr>
        <w:t xml:space="preserve">                            </w:t>
      </w:r>
    </w:p>
    <w:tbl>
      <w:tblPr>
        <w:tblStyle w:val="10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1140"/>
        <w:gridCol w:w="975"/>
        <w:gridCol w:w="930"/>
        <w:gridCol w:w="1500"/>
        <w:gridCol w:w="1530"/>
        <w:gridCol w:w="1485"/>
        <w:gridCol w:w="1245"/>
        <w:gridCol w:w="1230"/>
        <w:gridCol w:w="1650"/>
        <w:gridCol w:w="15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982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序号</w:t>
            </w:r>
          </w:p>
        </w:tc>
        <w:tc>
          <w:tcPr>
            <w:tcW w:w="1140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姓  名</w:t>
            </w:r>
          </w:p>
        </w:tc>
        <w:tc>
          <w:tcPr>
            <w:tcW w:w="975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职称</w:t>
            </w:r>
          </w:p>
        </w:tc>
        <w:tc>
          <w:tcPr>
            <w:tcW w:w="930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学历</w:t>
            </w:r>
          </w:p>
        </w:tc>
        <w:tc>
          <w:tcPr>
            <w:tcW w:w="1500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出生年月</w:t>
            </w:r>
          </w:p>
        </w:tc>
        <w:tc>
          <w:tcPr>
            <w:tcW w:w="1530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高校教龄</w:t>
            </w:r>
          </w:p>
        </w:tc>
        <w:tc>
          <w:tcPr>
            <w:tcW w:w="1485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所在专业</w:t>
            </w:r>
          </w:p>
        </w:tc>
        <w:tc>
          <w:tcPr>
            <w:tcW w:w="1245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课程名称</w:t>
            </w:r>
          </w:p>
        </w:tc>
        <w:tc>
          <w:tcPr>
            <w:tcW w:w="1230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申报组别</w:t>
            </w:r>
          </w:p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（文</w:t>
            </w:r>
            <w:r>
              <w:rPr>
                <w:rFonts w:ascii="仿宋" w:hAnsi="仿宋" w:eastAsia="仿宋"/>
                <w:b/>
                <w:bCs/>
                <w:sz w:val="24"/>
              </w:rPr>
              <w:t>、理</w:t>
            </w:r>
            <w:r>
              <w:rPr>
                <w:rFonts w:hint="eastAsia" w:ascii="仿宋" w:hAnsi="仿宋" w:eastAsia="仿宋"/>
                <w:b/>
                <w:bCs/>
                <w:sz w:val="24"/>
              </w:rPr>
              <w:t>）</w:t>
            </w:r>
          </w:p>
        </w:tc>
        <w:tc>
          <w:tcPr>
            <w:tcW w:w="1650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课程性质</w:t>
            </w:r>
          </w:p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18"/>
                <w:szCs w:val="18"/>
              </w:rPr>
              <w:t>（基础课/专业核心课/选修课）</w:t>
            </w:r>
          </w:p>
        </w:tc>
        <w:tc>
          <w:tcPr>
            <w:tcW w:w="1507" w:type="dxa"/>
            <w:vAlign w:val="center"/>
          </w:tcPr>
          <w:p>
            <w:pPr>
              <w:adjustRightInd w:val="0"/>
              <w:snapToGrid w:val="0"/>
              <w:spacing w:after="159" w:afterLines="50" w:line="500" w:lineRule="exac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14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48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4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65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7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14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48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4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65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7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14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48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4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65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7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14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48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4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65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7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14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48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4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65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7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14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7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9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48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45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23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650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  <w:tc>
          <w:tcPr>
            <w:tcW w:w="1507" w:type="dxa"/>
          </w:tcPr>
          <w:p>
            <w:pPr>
              <w:spacing w:line="500" w:lineRule="exact"/>
              <w:jc w:val="center"/>
              <w:rPr>
                <w:rFonts w:ascii="仿宋" w:hAnsi="仿宋" w:eastAsia="仿宋"/>
                <w:b/>
                <w:bCs/>
                <w:sz w:val="30"/>
                <w:szCs w:val="30"/>
              </w:rPr>
            </w:pPr>
          </w:p>
        </w:tc>
      </w:tr>
    </w:tbl>
    <w:p>
      <w:pPr>
        <w:spacing w:line="500" w:lineRule="exact"/>
        <w:rPr>
          <w:rFonts w:ascii="仿宋" w:hAnsi="仿宋" w:eastAsia="仿宋"/>
          <w:b/>
          <w:bCs/>
          <w:sz w:val="30"/>
          <w:szCs w:val="30"/>
        </w:rPr>
      </w:pPr>
    </w:p>
    <w:p>
      <w:pPr>
        <w:spacing w:line="500" w:lineRule="exact"/>
        <w:rPr>
          <w:rFonts w:ascii="仿宋" w:hAnsi="仿宋" w:eastAsia="仿宋"/>
          <w:b/>
          <w:bCs/>
          <w:sz w:val="30"/>
          <w:szCs w:val="30"/>
        </w:rPr>
        <w:sectPr>
          <w:headerReference r:id="rId3" w:type="default"/>
          <w:footerReference r:id="rId4" w:type="default"/>
          <w:pgSz w:w="16838" w:h="11906" w:orient="landscape"/>
          <w:pgMar w:top="1803" w:right="1440" w:bottom="1803" w:left="1440" w:header="851" w:footer="992" w:gutter="0"/>
          <w:cols w:space="720" w:num="1"/>
          <w:docGrid w:type="lines" w:linePitch="319" w:charSpace="0"/>
        </w:sectPr>
      </w:pPr>
    </w:p>
    <w:p>
      <w:pPr>
        <w:spacing w:line="50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附件2：</w:t>
      </w:r>
    </w:p>
    <w:p>
      <w:pPr>
        <w:spacing w:line="500" w:lineRule="exact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  <w:lang w:eastAsia="zh-CN"/>
        </w:rPr>
        <w:t>长春建筑学院</w:t>
      </w:r>
      <w:r>
        <w:rPr>
          <w:rFonts w:hint="eastAsia" w:ascii="仿宋" w:hAnsi="仿宋" w:eastAsia="仿宋"/>
          <w:b/>
          <w:bCs/>
          <w:sz w:val="36"/>
          <w:szCs w:val="36"/>
        </w:rPr>
        <w:t>教师说课大赛报名表</w:t>
      </w:r>
    </w:p>
    <w:p>
      <w:pPr>
        <w:adjustRightInd w:val="0"/>
        <w:snapToGrid w:val="0"/>
        <w:spacing w:line="500" w:lineRule="exact"/>
        <w:rPr>
          <w:rFonts w:ascii="仿宋" w:hAnsi="仿宋" w:eastAsia="仿宋"/>
          <w:sz w:val="24"/>
        </w:rPr>
      </w:pPr>
    </w:p>
    <w:p>
      <w:pPr>
        <w:adjustRightInd w:val="0"/>
        <w:snapToGrid w:val="0"/>
        <w:spacing w:after="159" w:afterLines="50" w:line="500" w:lineRule="exact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t>单位名称：</w:t>
      </w:r>
      <w:r>
        <w:rPr>
          <w:rFonts w:hint="eastAsia" w:ascii="仿宋" w:hAnsi="仿宋" w:eastAsia="仿宋"/>
          <w:sz w:val="24"/>
          <w:u w:val="single"/>
        </w:rPr>
        <w:t xml:space="preserve">       </w:t>
      </w:r>
      <w:r>
        <w:rPr>
          <w:rFonts w:ascii="仿宋" w:hAnsi="仿宋" w:eastAsia="仿宋"/>
          <w:sz w:val="24"/>
          <w:u w:val="single"/>
        </w:rPr>
        <w:t xml:space="preserve">            </w:t>
      </w:r>
      <w:r>
        <w:rPr>
          <w:rFonts w:hint="eastAsia" w:ascii="仿宋" w:hAnsi="仿宋" w:eastAsia="仿宋"/>
          <w:sz w:val="24"/>
          <w:u w:val="single"/>
        </w:rPr>
        <w:t xml:space="preserve">  </w:t>
      </w:r>
      <w:r>
        <w:rPr>
          <w:rFonts w:hint="eastAsia" w:ascii="仿宋" w:hAnsi="仿宋" w:eastAsia="仿宋"/>
          <w:sz w:val="24"/>
        </w:rPr>
        <w:t>（盖章）</w:t>
      </w:r>
    </w:p>
    <w:tbl>
      <w:tblPr>
        <w:tblStyle w:val="10"/>
        <w:tblW w:w="899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1628"/>
        <w:gridCol w:w="1207"/>
        <w:gridCol w:w="1701"/>
        <w:gridCol w:w="1560"/>
        <w:gridCol w:w="142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姓  名</w:t>
            </w:r>
          </w:p>
        </w:tc>
        <w:tc>
          <w:tcPr>
            <w:tcW w:w="16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性  别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42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学  历</w:t>
            </w:r>
          </w:p>
        </w:tc>
        <w:tc>
          <w:tcPr>
            <w:tcW w:w="16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2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职  称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高校教龄</w:t>
            </w:r>
          </w:p>
        </w:tc>
        <w:tc>
          <w:tcPr>
            <w:tcW w:w="142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所在专业</w:t>
            </w:r>
          </w:p>
        </w:tc>
        <w:tc>
          <w:tcPr>
            <w:tcW w:w="283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申报组别</w:t>
            </w:r>
          </w:p>
        </w:tc>
        <w:tc>
          <w:tcPr>
            <w:tcW w:w="298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课程名称</w:t>
            </w:r>
          </w:p>
        </w:tc>
        <w:tc>
          <w:tcPr>
            <w:tcW w:w="283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课程性质</w:t>
            </w:r>
          </w:p>
        </w:tc>
        <w:tc>
          <w:tcPr>
            <w:tcW w:w="298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电子邮箱</w:t>
            </w:r>
          </w:p>
        </w:tc>
        <w:tc>
          <w:tcPr>
            <w:tcW w:w="283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298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参赛课程</w:t>
            </w:r>
          </w:p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简介</w:t>
            </w:r>
          </w:p>
        </w:tc>
        <w:tc>
          <w:tcPr>
            <w:tcW w:w="7518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500" w:lineRule="exact"/>
              <w:ind w:firstLine="6120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line="500" w:lineRule="exact"/>
              <w:ind w:firstLine="6120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line="500" w:lineRule="exact"/>
              <w:ind w:firstLine="6120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</w:rPr>
              <w:t>参赛教师</w:t>
            </w:r>
          </w:p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</w:rPr>
              <w:t>简介</w:t>
            </w:r>
          </w:p>
        </w:tc>
        <w:tc>
          <w:tcPr>
            <w:tcW w:w="7518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exact"/>
          <w:jc w:val="center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课程资源</w:t>
            </w:r>
          </w:p>
          <w:p>
            <w:pPr>
              <w:widowControl/>
              <w:spacing w:line="500" w:lineRule="exact"/>
              <w:jc w:val="center"/>
              <w:rPr>
                <w:rFonts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>目录</w:t>
            </w:r>
          </w:p>
        </w:tc>
        <w:tc>
          <w:tcPr>
            <w:tcW w:w="7518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spacing w:after="63" w:afterLines="20"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 xml:space="preserve">        </w:t>
            </w:r>
          </w:p>
          <w:p>
            <w:pPr>
              <w:widowControl/>
              <w:spacing w:after="63" w:afterLines="20"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after="63" w:afterLines="20"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after="63" w:afterLines="20"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</w:p>
          <w:p>
            <w:pPr>
              <w:widowControl/>
              <w:spacing w:after="63" w:afterLines="20" w:line="500" w:lineRule="exact"/>
              <w:rPr>
                <w:rFonts w:ascii="仿宋" w:hAnsi="仿宋" w:eastAsia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仿宋" w:hAnsi="仿宋" w:eastAsia="仿宋"/>
                <w:color w:val="000000"/>
                <w:kern w:val="0"/>
                <w:sz w:val="24"/>
              </w:rPr>
              <w:t xml:space="preserve">                            </w:t>
            </w:r>
            <w:r>
              <w:rPr>
                <w:rFonts w:hint="eastAsia" w:ascii="仿宋" w:hAnsi="仿宋" w:eastAsia="仿宋"/>
                <w:color w:val="000000"/>
                <w:kern w:val="0"/>
                <w:sz w:val="24"/>
              </w:rPr>
              <w:t xml:space="preserve"> </w:t>
            </w:r>
          </w:p>
        </w:tc>
      </w:tr>
    </w:tbl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  <w:sectPr>
          <w:pgSz w:w="11906" w:h="16838"/>
          <w:pgMar w:top="1440" w:right="1803" w:bottom="1440" w:left="1803" w:header="851" w:footer="992" w:gutter="0"/>
          <w:cols w:space="720" w:num="1"/>
          <w:docGrid w:type="lines" w:linePitch="319" w:charSpace="0"/>
        </w:sectPr>
      </w:pP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附件3：</w:t>
      </w:r>
      <w:r>
        <w:rPr>
          <w:rFonts w:ascii="仿宋" w:hAnsi="仿宋" w:eastAsia="仿宋"/>
          <w:b/>
          <w:sz w:val="30"/>
          <w:szCs w:val="30"/>
        </w:rPr>
        <w:t xml:space="preserve">              </w:t>
      </w:r>
    </w:p>
    <w:p>
      <w:pPr>
        <w:topLinePunct/>
        <w:adjustRightInd w:val="0"/>
        <w:spacing w:line="5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  <w:lang w:eastAsia="zh-CN"/>
        </w:rPr>
        <w:t>长春建筑学院</w:t>
      </w:r>
      <w:r>
        <w:rPr>
          <w:rFonts w:hint="eastAsia" w:ascii="仿宋" w:hAnsi="仿宋" w:eastAsia="仿宋"/>
          <w:b/>
          <w:bCs/>
          <w:sz w:val="36"/>
          <w:szCs w:val="36"/>
        </w:rPr>
        <w:t>教师说课大赛材料提交指南</w:t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进入决赛的参赛教师提交材料操作方式如下：</w:t>
      </w:r>
    </w:p>
    <w:p>
      <w:pPr>
        <w:numPr>
          <w:ilvl w:val="0"/>
          <w:numId w:val="1"/>
        </w:num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登录本校网络教学平台如</w:t>
      </w:r>
      <w:r>
        <w:rPr>
          <w:rFonts w:ascii="仿宋" w:hAnsi="仿宋" w:eastAsia="仿宋" w:cs="仿宋"/>
          <w:sz w:val="24"/>
        </w:rPr>
        <w:t>jladijf</w:t>
      </w:r>
      <w:r>
        <w:rPr>
          <w:rFonts w:hint="eastAsia" w:ascii="仿宋" w:hAnsi="仿宋" w:eastAsia="仿宋" w:cs="仿宋"/>
          <w:sz w:val="24"/>
        </w:rPr>
        <w:t>.fanya.chaoxing.com 如图所示：</w:t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①使用本校下发的教师平台账号进行登录。</w:t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73675" cy="1754505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②登录后进入“个人空间”。</w:t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62880" cy="14566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③登录后在窗口左侧菜单中，选择“课堂”；然后在右侧窗口中会出现“我教的课”和“我学的课”；选择“我教的课”进入课程创建页面，点击右上角“创建课程”进行课程创建，或者点击窗口中的“加号”按钮进行创建。</w:t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62880" cy="207327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</w:p>
    <w:p>
      <w:pPr>
        <w:topLinePunct/>
        <w:adjustRightInd w:val="0"/>
        <w:spacing w:line="600" w:lineRule="auto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115"/>
        </w:tabs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2、点击右上角“创作课程”</w:t>
      </w:r>
    </w:p>
    <w:p>
      <w:pPr>
        <w:tabs>
          <w:tab w:val="left" w:pos="2115"/>
        </w:tabs>
        <w:rPr>
          <w:rFonts w:ascii="仿宋" w:hAnsi="仿宋" w:eastAsia="仿宋" w:cs="仿宋"/>
          <w:sz w:val="24"/>
        </w:rPr>
      </w:pPr>
    </w:p>
    <w:p>
      <w:pPr>
        <w:tabs>
          <w:tab w:val="left" w:pos="2115"/>
        </w:tabs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3、课程名称请填写参赛课程名称如：某某课程；教师填写参赛教师姓名；说明中填写教师所在学校名称。</w:t>
      </w:r>
    </w:p>
    <w:p>
      <w:pPr>
        <w:tabs>
          <w:tab w:val="left" w:pos="2115"/>
        </w:tabs>
        <w:rPr>
          <w:rFonts w:ascii="仿宋" w:hAnsi="仿宋" w:eastAsia="仿宋" w:cs="仿宋"/>
          <w:sz w:val="24"/>
        </w:rPr>
      </w:pPr>
    </w:p>
    <w:p>
      <w:pPr>
        <w:tabs>
          <w:tab w:val="left" w:pos="2115"/>
        </w:tabs>
        <w:rPr>
          <w:rFonts w:ascii="仿宋" w:hAnsi="仿宋" w:eastAsia="仿宋" w:cs="仿宋"/>
          <w:sz w:val="24"/>
        </w:rPr>
      </w:pPr>
    </w:p>
    <w:p>
      <w:pPr>
        <w:tabs>
          <w:tab w:val="left" w:pos="2115"/>
        </w:tabs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73675" cy="307276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4、进入下一步，设置自己材料的封面（可以上传自己所讲课程的相关图片，或其他美观的图片，不限）。</w:t>
      </w:r>
    </w:p>
    <w:p>
      <w:pPr>
        <w:topLinePunct/>
        <w:adjustRightInd w:val="0"/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首先编辑目录，点击编辑按钮。根据网评环节评分标准对应编辑目录。</w:t>
      </w:r>
    </w:p>
    <w:p>
      <w:pPr>
        <w:widowControl/>
        <w:jc w:val="left"/>
        <w:rPr>
          <w:rFonts w:ascii="仿宋" w:hAnsi="仿宋" w:eastAsia="仿宋" w:cs="仿宋"/>
          <w:kern w:val="0"/>
          <w:sz w:val="24"/>
        </w:rPr>
      </w:pPr>
    </w:p>
    <w:p>
      <w:pPr>
        <w:topLinePunct/>
        <w:adjustRightInd w:val="0"/>
        <w:spacing w:line="600" w:lineRule="auto"/>
        <w:ind w:firstLine="241" w:firstLineChars="100"/>
        <w:rPr>
          <w:rFonts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drawing>
          <wp:inline distT="0" distB="0" distL="0" distR="0">
            <wp:extent cx="5082540" cy="2509520"/>
            <wp:effectExtent l="0" t="0" r="3810" b="5080"/>
            <wp:docPr id="28" name="图片 28" descr="1541041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41041807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ind w:firstLine="480" w:firstLineChars="20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24"/>
        </w:rPr>
        <w:t>编辑对应课程的主目录和子目录，目录编辑信息如下图：此信息对应评分标准，但不局限于这些，可根据实际教学过程提供更多评分标准中的相关内容。材料内容越丰富越切合实际教学，评审中会更突出。</w:t>
      </w:r>
      <w:r>
        <w:rPr>
          <w:rFonts w:hint="eastAsia" w:ascii="仿宋" w:hAnsi="仿宋" w:eastAsia="仿宋" w:cs="仿宋"/>
          <w:b/>
          <w:bCs/>
          <w:sz w:val="24"/>
        </w:rPr>
        <w:t>注：01目录中的1.1至1.5为必须提交材料，老师应按要求必须提交，否则参赛作品评委无法对其考评。</w:t>
      </w:r>
    </w:p>
    <w:p>
      <w:pPr>
        <w:widowControl/>
        <w:jc w:val="center"/>
        <w:rPr>
          <w:rFonts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328545" cy="34766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ind w:firstLine="240" w:firstLineChars="1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5、目录建好后，对应上传相关评审资料，如图：选择附件，对应上传。</w:t>
      </w:r>
    </w:p>
    <w:p>
      <w:pPr>
        <w:topLinePunct/>
        <w:adjustRightInd w:val="0"/>
        <w:spacing w:line="600" w:lineRule="auto"/>
        <w:ind w:firstLine="240" w:firstLineChars="1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071745" cy="3242945"/>
            <wp:effectExtent l="0" t="0" r="0" b="0"/>
            <wp:docPr id="26" name="图片 26" descr="7215096961835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215096961835984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ind w:firstLine="240" w:firstLineChars="100"/>
        <w:jc w:val="center"/>
        <w:rPr>
          <w:rFonts w:ascii="仿宋" w:hAnsi="仿宋" w:eastAsia="仿宋" w:cs="仿宋"/>
          <w:sz w:val="24"/>
        </w:rPr>
      </w:pPr>
    </w:p>
    <w:p>
      <w:pPr>
        <w:topLinePunct/>
        <w:adjustRightInd w:val="0"/>
        <w:spacing w:line="60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305425" cy="3189605"/>
            <wp:effectExtent l="0" t="0" r="9525" b="0"/>
            <wp:docPr id="25" name="图片 25" descr="41630030175318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163003017531846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</w:p>
    <w:p>
      <w:pPr>
        <w:topLinePunct/>
        <w:adjustRightInd w:val="0"/>
        <w:spacing w:line="600" w:lineRule="auto"/>
        <w:jc w:val="center"/>
        <w:rPr>
          <w:rFonts w:ascii="仿宋" w:hAnsi="仿宋" w:eastAsia="仿宋" w:cs="仿宋"/>
          <w:sz w:val="24"/>
        </w:rPr>
      </w:pP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6、最后建好课程形式如下图：</w:t>
      </w:r>
    </w:p>
    <w:p>
      <w:pPr>
        <w:widowControl/>
        <w:jc w:val="left"/>
        <w:rPr>
          <w:rFonts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071745" cy="38487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300"/>
        <w:rPr>
          <w:rFonts w:ascii="仿宋" w:hAnsi="仿宋" w:eastAsia="仿宋" w:cs="仿宋"/>
          <w:bCs/>
          <w:color w:val="555555"/>
          <w:sz w:val="24"/>
        </w:rPr>
      </w:pPr>
      <w:r>
        <w:rPr>
          <w:rFonts w:hint="eastAsia" w:ascii="仿宋" w:hAnsi="仿宋" w:eastAsia="仿宋" w:cs="仿宋"/>
          <w:bCs/>
          <w:color w:val="555555"/>
          <w:kern w:val="0"/>
          <w:sz w:val="24"/>
        </w:rPr>
        <w:t>7、课程门户设置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课程建立后，需要进行设置课程门户信息，如板式、封面信息、片花、封面、相关信息、课程章节、课程目录、课程介绍、教师团队、教学方法、教学条件、教学效果、参考教材等课程信息。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color w:val="555555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1）、进入课程课程页面，点击【课程门户】，进入课程门户设置。</w:t>
      </w:r>
    </w:p>
    <w:p>
      <w:pPr>
        <w:pStyle w:val="6"/>
        <w:widowControl/>
        <w:spacing w:beforeAutospacing="0" w:after="210" w:afterAutospacing="0"/>
        <w:ind w:firstLine="420"/>
        <w:jc w:val="both"/>
        <w:rPr>
          <w:rFonts w:ascii="仿宋" w:hAnsi="仿宋" w:eastAsia="仿宋" w:cs="仿宋"/>
          <w:color w:val="555555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Cs w:val="24"/>
        </w:rPr>
        <w:drawing>
          <wp:inline distT="0" distB="0" distL="0" distR="0">
            <wp:extent cx="5262880" cy="29984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2）、进入【课程门户】设置后，看到我们新建的课程，在页面的左侧可以看到【编辑本页】、【设置】两个按钮，我们先来看一下，【编辑本页】。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763135" cy="2817495"/>
            <wp:effectExtent l="0" t="0" r="0" b="190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3）、进入后，我们可以看到，【编辑课程信息】页面，该页主要是用来编辑课程的基本信息使用的，也就是我们上面说的那些小项，也可以点击【章节建设】来完成基本章节的建立。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首先第一个是我们课程模板的选择，我们可以在模板下方选择适合我们的课程模板进行课程的建立。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5210175" cy="2530475"/>
            <wp:effectExtent l="0" t="0" r="9525" b="3175"/>
            <wp:docPr id="21" name="图片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4）、【课程封面信息】很好理解，就是设定我们的课程的名称、教师和课程说明。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5295265" cy="2381885"/>
            <wp:effectExtent l="0" t="0" r="635" b="0"/>
            <wp:docPr id="20" name="图片 2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5）、【上传片花】可以上传小的动态视频，作为课程的首页片花。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5125085" cy="2211705"/>
            <wp:effectExtent l="0" t="0" r="0" b="0"/>
            <wp:docPr id="19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6）、【课程封面】中可以设置课程首页封面，可以选择系统自带图片，也可以上传本机的图片。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954905" cy="2286000"/>
            <wp:effectExtent l="0" t="0" r="0" b="0"/>
            <wp:docPr id="18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7）、【课程相关信息】设置的是课程的信息模板，也就是课程的基本所属信息。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827270" cy="2562225"/>
            <wp:effectExtent l="0" t="0" r="0" b="9525"/>
            <wp:docPr id="17" name="图片 1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8）、【课程章节设置】设置的是，课程制做中的章节显示名称。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5146040" cy="1754505"/>
            <wp:effectExtent l="0" t="0" r="0" b="0"/>
            <wp:docPr id="16" name="图片 1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9）、【课程介绍】中设置的是，课程概况、内容及方向简介。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327525" cy="2243455"/>
            <wp:effectExtent l="0" t="0" r="0" b="4445"/>
            <wp:docPr id="15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10）、【教师团队】中可以添加本课程共同创建的教师名称信息。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    【教学条件】中添加本课程所需的教学条件要求。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561205" cy="2137410"/>
            <wp:effectExtent l="0" t="0" r="0" b="0"/>
            <wp:docPr id="14" name="图片 1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11）、【教学方法】中填写本节课中使用的教学方法，如讲授法、讨论法、直观演示法、练习法、任务驱动法等各种教学方法的使用。</w:t>
      </w:r>
    </w:p>
    <w:p>
      <w:pPr>
        <w:pStyle w:val="6"/>
        <w:widowControl/>
        <w:spacing w:beforeAutospacing="0" w:after="76" w:afterAutospacing="0" w:line="270" w:lineRule="atLeast"/>
        <w:ind w:right="720"/>
        <w:jc w:val="both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5347970" cy="2402840"/>
            <wp:effectExtent l="0" t="0" r="5080" b="0"/>
            <wp:docPr id="13" name="图片 1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12）、【教学效果】填写通过本次教学取得的成效。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455160" cy="2381885"/>
            <wp:effectExtent l="0" t="0" r="2540" b="0"/>
            <wp:docPr id="12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13）、【参考教材】中填写本课程使用的参考教材。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678045" cy="2562225"/>
            <wp:effectExtent l="0" t="0" r="8255" b="9525"/>
            <wp:docPr id="11" name="图片 11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14）、最下方的【添加栏目】可以继续添加需要的项目。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3678555" cy="1913890"/>
            <wp:effectExtent l="0" t="0" r="0" b="0"/>
            <wp:docPr id="10" name="图片 10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15）、全部设置完成后，点击最下方的完成按钮即可。</w:t>
      </w:r>
    </w:p>
    <w:p>
      <w:pPr>
        <w:pStyle w:val="6"/>
        <w:widowControl/>
        <w:spacing w:beforeAutospacing="0" w:after="210" w:afterAutospacing="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8、【课程设置】中可以设置板式、资源和评价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1）、首先是设置【章节标题位置设置】，进行版面的设置。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614545" cy="2445385"/>
            <wp:effectExtent l="0" t="0" r="0" b="0"/>
            <wp:docPr id="9" name="图片 9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2）、第二是【课程门户章节资源列表显示】设置，可设置下载模式。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635500" cy="999490"/>
            <wp:effectExtent l="0" t="0" r="0" b="0"/>
            <wp:docPr id="8" name="图片 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3）、【课程评价】可以设置允许评价本课程的人员。</w:t>
      </w:r>
    </w:p>
    <w:p>
      <w:pPr>
        <w:pStyle w:val="6"/>
        <w:widowControl/>
        <w:spacing w:beforeAutospacing="0" w:after="76" w:afterAutospacing="0" w:line="270" w:lineRule="atLeast"/>
        <w:ind w:left="720" w:right="720"/>
        <w:jc w:val="center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2F2F2"/>
        </w:rPr>
        <w:drawing>
          <wp:inline distT="0" distB="0" distL="0" distR="0">
            <wp:extent cx="4508500" cy="977900"/>
            <wp:effectExtent l="0" t="0" r="6350" b="0"/>
            <wp:docPr id="7" name="图片 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="210" w:afterAutospacing="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9、课程发放设置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t>在课程页面中，点击课程章节右侧的√符号，会弹开【发放设置】，在【发放设置】中可以课程的开发模式，如果选择“闯关模式”，必须按顺序开始学习，不能跳跃章节学习。</w:t>
      </w:r>
    </w:p>
    <w:p>
      <w:pPr>
        <w:pStyle w:val="6"/>
        <w:widowControl/>
        <w:spacing w:beforeAutospacing="0" w:after="210" w:afterAutospacing="0"/>
        <w:ind w:firstLine="42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color w:val="555555"/>
          <w:szCs w:val="24"/>
          <w:shd w:val="clear" w:color="auto" w:fill="FFFFFF"/>
        </w:rPr>
        <w:drawing>
          <wp:inline distT="0" distB="0" distL="0" distR="0">
            <wp:extent cx="4018915" cy="2774950"/>
            <wp:effectExtent l="0" t="0" r="635" b="6350"/>
            <wp:docPr id="6" name="图片 6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pacing w:line="60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10、参赛教师将做好的参赛课程保存，点击“课程门户”进入课程首页。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4327525" cy="2466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23"/>
        </w:tabs>
        <w:topLinePunct/>
        <w:adjustRightInd w:val="0"/>
        <w:spacing w:line="60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11、进入课程门户后，将地址栏中该网页地址复制粘贴到报名表格中。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62880" cy="2711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23"/>
        </w:tabs>
        <w:topLinePunct/>
        <w:adjustRightInd w:val="0"/>
        <w:spacing w:line="600" w:lineRule="auto"/>
        <w:jc w:val="left"/>
        <w:rPr>
          <w:rFonts w:ascii="仿宋" w:hAnsi="仿宋" w:eastAsia="仿宋" w:cs="仿宋"/>
          <w:sz w:val="24"/>
        </w:rPr>
      </w:pPr>
    </w:p>
    <w:p>
      <w:pPr>
        <w:tabs>
          <w:tab w:val="left" w:pos="223"/>
        </w:tabs>
        <w:topLinePunct/>
        <w:adjustRightInd w:val="0"/>
        <w:spacing w:line="600" w:lineRule="auto"/>
        <w:jc w:val="left"/>
        <w:rPr>
          <w:rFonts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62880" cy="10420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大赛评审专家根据各高校上交的网评资料进行初步评审，评审出进入现场说课环节决赛的教师。</w:t>
      </w:r>
    </w:p>
    <w:p>
      <w:pPr>
        <w:topLinePunct/>
        <w:adjustRightInd w:val="0"/>
        <w:spacing w:line="60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13、提交材料操作过程中如遇操作问题，请加入大赛技术支持QQ群，咨询提供技术支持的工作人员：</w:t>
      </w:r>
    </w:p>
    <w:p>
      <w:pPr>
        <w:topLinePunct/>
        <w:adjustRightInd w:val="0"/>
        <w:spacing w:line="60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2105025"/>
            <wp:effectExtent l="0" t="0" r="635" b="9525"/>
            <wp:docPr id="2" name="图片 2" descr="QQ图片2018111910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1191046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720" w:hanging="720" w:hangingChars="3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14、如建立课程有疑问可联系上方的QQ群，也可进入如下课程建立的范本示例文件查看。</w:t>
      </w:r>
      <w:r>
        <w:fldChar w:fldCharType="begin"/>
      </w:r>
      <w:r>
        <w:instrText xml:space="preserve"> HYPERLINK "https://mooc1-2.chaoxing.com/course/202356664.html" \o "https://mooc1-2.chaoxing.com/course/202356664.html" </w:instrText>
      </w:r>
      <w:r>
        <w:fldChar w:fldCharType="separate"/>
      </w:r>
      <w:r>
        <w:rPr>
          <w:rStyle w:val="8"/>
          <w:rFonts w:hint="eastAsia" w:ascii="仿宋" w:hAnsi="仿宋" w:eastAsia="仿宋" w:cs="仿宋"/>
          <w:sz w:val="24"/>
        </w:rPr>
        <w:t>https://mooc1-2.chaoxing.com/course/202356664.html</w:t>
      </w:r>
      <w:r>
        <w:rPr>
          <w:rStyle w:val="8"/>
          <w:rFonts w:hint="eastAsia" w:ascii="仿宋" w:hAnsi="仿宋" w:eastAsia="仿宋" w:cs="仿宋"/>
          <w:sz w:val="24"/>
        </w:rPr>
        <w:fldChar w:fldCharType="end"/>
      </w:r>
    </w:p>
    <w:p>
      <w:pPr>
        <w:topLinePunct/>
        <w:adjustRightInd w:val="0"/>
        <w:spacing w:line="600" w:lineRule="auto"/>
        <w:jc w:val="left"/>
        <w:rPr>
          <w:rFonts w:ascii="仿宋" w:hAnsi="仿宋" w:eastAsia="仿宋" w:cs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ind w:left="435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</w:pP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</w:pP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</w:pP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</w:pP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topLinePunct/>
        <w:adjustRightInd w:val="0"/>
        <w:spacing w:line="500" w:lineRule="exact"/>
        <w:rPr>
          <w:rFonts w:hint="eastAsia" w:ascii="仿宋" w:hAnsi="仿宋" w:eastAsia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/>
          <w:sz w:val="30"/>
          <w:szCs w:val="30"/>
          <w:lang w:eastAsia="zh-CN"/>
        </w:rPr>
        <w:t>附件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5:</w:t>
      </w:r>
    </w:p>
    <w:p>
      <w:pPr>
        <w:spacing w:line="360" w:lineRule="auto"/>
        <w:jc w:val="center"/>
        <w:rPr>
          <w:rFonts w:hint="eastAsia" w:ascii="黑体" w:hAnsi="黑体" w:eastAsia="黑体"/>
          <w:sz w:val="44"/>
          <w:szCs w:val="44"/>
          <w:lang w:eastAsia="zh-CN"/>
        </w:rPr>
      </w:pPr>
      <w:r>
        <w:rPr>
          <w:rFonts w:hint="eastAsia" w:ascii="黑体" w:hAnsi="黑体" w:eastAsia="黑体"/>
          <w:sz w:val="44"/>
          <w:szCs w:val="44"/>
          <w:lang w:eastAsia="zh-CN"/>
        </w:rPr>
        <w:t>长春建筑学院教学设计</w:t>
      </w:r>
    </w:p>
    <w:p>
      <w:pPr>
        <w:rPr>
          <w:rFonts w:asciiTheme="minorEastAsia" w:hAnsiTheme="minorEastAsia"/>
          <w:b/>
          <w:szCs w:val="21"/>
        </w:rPr>
      </w:pPr>
    </w:p>
    <w:p>
      <w:pPr>
        <w:ind w:firstLine="211" w:firstLineChars="100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 xml:space="preserve">课程名称：                 </w:t>
      </w:r>
    </w:p>
    <w:tbl>
      <w:tblPr>
        <w:tblStyle w:val="1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1843"/>
        <w:gridCol w:w="1701"/>
        <w:gridCol w:w="2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授课教师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所在单位</w:t>
            </w:r>
          </w:p>
        </w:tc>
        <w:tc>
          <w:tcPr>
            <w:tcW w:w="2914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课程类型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授课时间</w:t>
            </w:r>
          </w:p>
        </w:tc>
        <w:tc>
          <w:tcPr>
            <w:tcW w:w="2914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教学内容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（章、</w:t>
            </w:r>
            <w:r>
              <w:rPr>
                <w:rFonts w:asciiTheme="minorEastAsia" w:hAnsiTheme="minorEastAsia"/>
                <w:szCs w:val="21"/>
              </w:rPr>
              <w:t>节</w:t>
            </w:r>
            <w:r>
              <w:rPr>
                <w:rFonts w:hint="eastAsia" w:asciiTheme="minorEastAsia" w:hAnsiTheme="minorEastAsia"/>
                <w:szCs w:val="21"/>
              </w:rPr>
              <w:t>，原则上</w:t>
            </w:r>
            <w:r>
              <w:rPr>
                <w:rFonts w:asciiTheme="minorEastAsia" w:hAnsiTheme="minorEastAsia"/>
                <w:szCs w:val="21"/>
              </w:rPr>
              <w:t>每</w:t>
            </w:r>
            <w:r>
              <w:rPr>
                <w:rFonts w:hint="eastAsia" w:asciiTheme="minorEastAsia" w:hAnsiTheme="minorEastAsia"/>
                <w:szCs w:val="21"/>
              </w:rPr>
              <w:t>45分钟或90分钟做一个教案</w:t>
            </w:r>
            <w:r>
              <w:rPr>
                <w:rFonts w:asciiTheme="minorEastAsia" w:hAnsiTheme="minor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授课对象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教学目标及要求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知识目标：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能力目标：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情感与价值观目标：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教学重点与难点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重点：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难点：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教学准备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（依据教材内容分析、教学对象学情分析，</w:t>
            </w:r>
            <w:r>
              <w:rPr>
                <w:rFonts w:asciiTheme="minorEastAsia" w:hAnsiTheme="minorEastAsia"/>
                <w:szCs w:val="21"/>
              </w:rPr>
              <w:t>以及</w:t>
            </w:r>
            <w:r>
              <w:rPr>
                <w:rFonts w:hint="eastAsia" w:asciiTheme="minorEastAsia" w:hAnsiTheme="minorEastAsia"/>
                <w:szCs w:val="21"/>
              </w:rPr>
              <w:t>课前准备工作等</w:t>
            </w:r>
            <w:r>
              <w:rPr>
                <w:rFonts w:asciiTheme="minorEastAsia" w:hAnsiTheme="minorEastAsia"/>
                <w:szCs w:val="21"/>
              </w:rPr>
              <w:t>）</w:t>
            </w: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主要教学环节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主要知识点及教学策略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（包括复习、</w:t>
            </w:r>
            <w:r>
              <w:rPr>
                <w:rFonts w:asciiTheme="minorEastAsia" w:hAnsiTheme="minorEastAsia"/>
                <w:szCs w:val="21"/>
              </w:rPr>
              <w:t>导入</w:t>
            </w:r>
            <w:r>
              <w:rPr>
                <w:rFonts w:hint="eastAsia" w:asciiTheme="minorEastAsia" w:hAnsiTheme="minorEastAsia"/>
                <w:szCs w:val="21"/>
              </w:rPr>
              <w:t>、</w:t>
            </w:r>
            <w:r>
              <w:rPr>
                <w:rFonts w:asciiTheme="minorEastAsia" w:hAnsiTheme="minorEastAsia"/>
                <w:szCs w:val="21"/>
              </w:rPr>
              <w:t>教学</w:t>
            </w:r>
            <w:r>
              <w:rPr>
                <w:rFonts w:hint="eastAsia" w:asciiTheme="minorEastAsia" w:hAnsiTheme="minorEastAsia"/>
                <w:szCs w:val="21"/>
              </w:rPr>
              <w:t>过程、</w:t>
            </w:r>
            <w:r>
              <w:rPr>
                <w:rFonts w:asciiTheme="minorEastAsia" w:hAnsiTheme="minorEastAsia"/>
                <w:szCs w:val="21"/>
              </w:rPr>
              <w:t>巩固</w:t>
            </w:r>
            <w:r>
              <w:rPr>
                <w:rFonts w:hint="eastAsia" w:asciiTheme="minorEastAsia" w:hAnsiTheme="minorEastAsia"/>
                <w:szCs w:val="21"/>
              </w:rPr>
              <w:t>、</w:t>
            </w:r>
            <w:r>
              <w:rPr>
                <w:rFonts w:asciiTheme="minorEastAsia" w:hAnsiTheme="minorEastAsia"/>
                <w:szCs w:val="21"/>
              </w:rPr>
              <w:t>归纳</w:t>
            </w:r>
            <w:r>
              <w:rPr>
                <w:rFonts w:hint="eastAsia" w:asciiTheme="minorEastAsia" w:hAnsiTheme="minorEastAsia"/>
                <w:szCs w:val="21"/>
              </w:rPr>
              <w:t>、</w:t>
            </w:r>
            <w:r>
              <w:rPr>
                <w:rFonts w:asciiTheme="minorEastAsia" w:hAnsiTheme="minorEastAsia"/>
                <w:szCs w:val="21"/>
              </w:rPr>
              <w:t>布置</w:t>
            </w:r>
            <w:r>
              <w:rPr>
                <w:rFonts w:hint="eastAsia" w:asciiTheme="minorEastAsia" w:hAnsiTheme="minorEastAsia"/>
                <w:szCs w:val="21"/>
              </w:rPr>
              <w:t>作业等）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（包括主要知识点及对应的教学思路、</w:t>
            </w:r>
            <w:r>
              <w:rPr>
                <w:rFonts w:asciiTheme="minorEastAsia" w:hAnsiTheme="minorEastAsia"/>
                <w:szCs w:val="21"/>
              </w:rPr>
              <w:t>教学</w:t>
            </w:r>
            <w:r>
              <w:rPr>
                <w:rFonts w:hint="eastAsia" w:asciiTheme="minorEastAsia" w:hAnsiTheme="minorEastAsia"/>
                <w:szCs w:val="21"/>
              </w:rPr>
              <w:t>方法、教学</w:t>
            </w:r>
            <w:r>
              <w:rPr>
                <w:rFonts w:asciiTheme="minorEastAsia" w:hAnsiTheme="minorEastAsia"/>
                <w:szCs w:val="21"/>
              </w:rPr>
              <w:t>资源</w:t>
            </w:r>
            <w:r>
              <w:rPr>
                <w:rFonts w:hint="eastAsia" w:asciiTheme="minorEastAsia" w:hAnsiTheme="minorEastAsia"/>
                <w:szCs w:val="21"/>
              </w:rPr>
              <w:t>和教学手段利用、时间分配等）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相关资源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板书设计</w:t>
            </w: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课后反思</w:t>
            </w: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458" w:type="dxa"/>
            <w:gridSpan w:val="3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</w:p>
        </w:tc>
      </w:tr>
    </w:tbl>
    <w:p>
      <w:pPr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 xml:space="preserve"> 注：</w:t>
      </w:r>
      <w:r>
        <w:rPr>
          <w:rFonts w:asciiTheme="minorEastAsia" w:hAnsiTheme="minorEastAsia"/>
          <w:b/>
          <w:szCs w:val="21"/>
        </w:rPr>
        <w:t>各</w:t>
      </w:r>
      <w:r>
        <w:rPr>
          <w:rFonts w:hint="eastAsia" w:asciiTheme="minorEastAsia" w:hAnsiTheme="minorEastAsia"/>
          <w:b/>
          <w:szCs w:val="21"/>
        </w:rPr>
        <w:t>学院可以根据本学科特点做适当修改。</w:t>
      </w:r>
    </w:p>
    <w:p>
      <w:pPr>
        <w:topLinePunct/>
        <w:adjustRightInd w:val="0"/>
        <w:spacing w:line="5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附件6：</w:t>
      </w:r>
      <w:r>
        <w:rPr>
          <w:rFonts w:ascii="仿宋" w:hAnsi="仿宋" w:eastAsia="仿宋"/>
          <w:b/>
          <w:sz w:val="30"/>
          <w:szCs w:val="30"/>
        </w:rPr>
        <w:t xml:space="preserve">             </w:t>
      </w:r>
    </w:p>
    <w:p>
      <w:pPr>
        <w:topLinePunct/>
        <w:adjustRightInd w:val="0"/>
        <w:spacing w:line="5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  <w:lang w:eastAsia="zh-CN"/>
        </w:rPr>
        <w:t>长春建筑学院</w:t>
      </w:r>
      <w:r>
        <w:rPr>
          <w:rFonts w:hint="eastAsia" w:ascii="仿宋" w:hAnsi="仿宋" w:eastAsia="仿宋"/>
          <w:b/>
          <w:bCs/>
          <w:sz w:val="36"/>
          <w:szCs w:val="36"/>
        </w:rPr>
        <w:t>教师说课大赛评价标准</w:t>
      </w:r>
    </w:p>
    <w:tbl>
      <w:tblPr>
        <w:tblStyle w:val="10"/>
        <w:tblpPr w:leftFromText="180" w:rightFromText="180" w:vertAnchor="text" w:horzAnchor="page" w:tblpX="1408" w:tblpY="430"/>
        <w:tblOverlap w:val="never"/>
        <w:tblW w:w="946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1596"/>
        <w:gridCol w:w="6070"/>
        <w:gridCol w:w="11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8330" w:type="dxa"/>
            <w:gridSpan w:val="3"/>
            <w:vAlign w:val="center"/>
          </w:tcPr>
          <w:p>
            <w:pPr>
              <w:spacing w:line="400" w:lineRule="atLeas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评  价  标  准</w:t>
            </w:r>
          </w:p>
        </w:tc>
        <w:tc>
          <w:tcPr>
            <w:tcW w:w="1134" w:type="dxa"/>
            <w:vAlign w:val="center"/>
          </w:tcPr>
          <w:p>
            <w:pPr>
              <w:spacing w:line="400" w:lineRule="atLeast"/>
              <w:jc w:val="center"/>
              <w:rPr>
                <w:rFonts w:ascii="仿宋" w:hAnsi="仿宋" w:eastAsia="仿宋"/>
                <w:b/>
                <w:bCs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分值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</w:trPr>
        <w:tc>
          <w:tcPr>
            <w:tcW w:w="66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教学背景分析</w:t>
            </w: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对课程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在专业人才培养中的地位作用、课程教材选择、学生特点、以往教学过程与效果等进行具体分析与反思，课程教学设计依据充分。</w:t>
            </w:r>
          </w:p>
        </w:tc>
        <w:tc>
          <w:tcPr>
            <w:tcW w:w="1134" w:type="dxa"/>
            <w:vAlign w:val="center"/>
          </w:tcPr>
          <w:p>
            <w:pPr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664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教学目标设计</w:t>
            </w: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课程目标设置合理、明确，能够有力支撑学生毕业要求；章节目标具体、可测量。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66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教学目标体现多个维度，即除知识性目标外，涵盖技能性目标和情感、态度、价值塑造等情意性目标。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664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教学内容设计</w:t>
            </w:r>
          </w:p>
        </w:tc>
        <w:tc>
          <w:tcPr>
            <w:tcW w:w="6070" w:type="dxa"/>
            <w:vAlign w:val="center"/>
          </w:tcPr>
          <w:p>
            <w:pPr>
              <w:pStyle w:val="2"/>
              <w:adjustRightInd w:val="0"/>
              <w:snapToGrid w:val="0"/>
              <w:spacing w:line="400" w:lineRule="atLeast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教学内容充实</w:t>
            </w:r>
            <w:r>
              <w:rPr>
                <w:rFonts w:hint="eastAsia" w:ascii="仿宋" w:hAnsi="仿宋" w:eastAsia="仿宋" w:cs="Arial"/>
                <w:color w:val="333333"/>
                <w:shd w:val="clear" w:color="auto" w:fill="FFFFFF"/>
              </w:rPr>
              <w:t>，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广度、深度适宜，内容组织</w:t>
            </w: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逻辑性强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，反映学科前沿。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66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6070" w:type="dxa"/>
            <w:vAlign w:val="center"/>
          </w:tcPr>
          <w:p>
            <w:pPr>
              <w:pStyle w:val="2"/>
              <w:adjustRightInd w:val="0"/>
              <w:snapToGrid w:val="0"/>
              <w:spacing w:line="400" w:lineRule="atLeast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教学内容重点、难点把握清楚，重点内容体现深刻性，有助于学生建立有关课程的整体概念性结构。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</w:trPr>
        <w:tc>
          <w:tcPr>
            <w:tcW w:w="664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教学策略设计</w:t>
            </w: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教学方法选择恰当有效（围绕目标和内容），体现多元化（讲授、研讨、小组合作等）特点，强调互动，能够有效支撑教学目标。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66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充分利用智慧教学、虚拟技术、在线平台等现代教育技术手段优化教学设计，提高学生参与度。。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6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教学过程设计严谨、有序，结构化程度高。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</w:trPr>
        <w:tc>
          <w:tcPr>
            <w:tcW w:w="66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考核方式设计</w:t>
            </w: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对知识性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、</w:t>
            </w: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技能性和情意性目标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，</w:t>
            </w: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有相应的考核办法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（如标准化考试、课程报告、作业、实践、项目方案等）</w:t>
            </w: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和具体标准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，</w:t>
            </w: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能够有效激发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和维持</w:t>
            </w: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学生主动学习的动机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。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</w:trPr>
        <w:tc>
          <w:tcPr>
            <w:tcW w:w="66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学习支持设计</w:t>
            </w: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为学生提供有效的学习资源</w:t>
            </w: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（教学视频、阅读文本、讨论空间等），并设计有针对性的学业指导，帮助学生实现预期学习成果。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66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教学设计表达</w:t>
            </w:r>
          </w:p>
        </w:tc>
        <w:tc>
          <w:tcPr>
            <w:tcW w:w="6070" w:type="dxa"/>
            <w:vAlign w:val="center"/>
          </w:tcPr>
          <w:p>
            <w:pPr>
              <w:widowControl/>
              <w:adjustRightInd w:val="0"/>
              <w:snapToGrid w:val="0"/>
              <w:spacing w:line="400" w:lineRule="atLeast"/>
              <w:jc w:val="left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教学设计体现先进的教育理念，表达准确，条理清楚。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/>
                <w:color w:val="000000"/>
                <w:kern w:val="0"/>
                <w:szCs w:val="21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8330" w:type="dxa"/>
            <w:gridSpan w:val="3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</w:rPr>
              <w:t>合  计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400" w:lineRule="atLeast"/>
              <w:ind w:left="105" w:leftChars="50"/>
              <w:jc w:val="center"/>
              <w:textAlignment w:val="center"/>
              <w:rPr>
                <w:rFonts w:ascii="仿宋" w:hAnsi="仿宋" w:eastAsia="仿宋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Cs w:val="21"/>
              </w:rPr>
              <w:t>100</w:t>
            </w:r>
          </w:p>
        </w:tc>
      </w:tr>
    </w:tbl>
    <w:p>
      <w:pPr>
        <w:topLinePunct/>
        <w:adjustRightInd w:val="0"/>
        <w:spacing w:line="500" w:lineRule="exact"/>
        <w:jc w:val="center"/>
        <w:rPr>
          <w:rFonts w:ascii="仿宋" w:hAnsi="仿宋" w:eastAsia="仿宋"/>
          <w:sz w:val="24"/>
        </w:rPr>
      </w:pPr>
    </w:p>
    <w:p>
      <w:pPr>
        <w:topLinePunct/>
        <w:adjustRightInd w:val="0"/>
        <w:spacing w:line="500" w:lineRule="exact"/>
        <w:jc w:val="center"/>
        <w:rPr>
          <w:rFonts w:ascii="仿宋" w:hAnsi="仿宋" w:eastAsia="仿宋"/>
          <w:sz w:val="24"/>
        </w:rPr>
      </w:pPr>
    </w:p>
    <w:p>
      <w:pPr>
        <w:rPr>
          <w:rFonts w:ascii="宋体" w:hAnsi="宋体"/>
          <w:sz w:val="28"/>
          <w:szCs w:val="28"/>
        </w:rPr>
      </w:pPr>
      <w:r>
        <w:rPr>
          <w:rFonts w:hint="eastAsia" w:ascii="仿宋" w:hAnsi="仿宋" w:eastAsia="仿宋"/>
          <w:b/>
          <w:sz w:val="30"/>
          <w:szCs w:val="30"/>
        </w:rPr>
        <w:t>附件7：</w:t>
      </w:r>
    </w:p>
    <w:p>
      <w:pPr>
        <w:spacing w:line="560" w:lineRule="exact"/>
        <w:ind w:firstLine="723" w:firstLineChars="200"/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长春建筑学院教师说课大赛实施办法</w:t>
      </w:r>
    </w:p>
    <w:p>
      <w:pPr>
        <w:spacing w:line="560" w:lineRule="exact"/>
        <w:ind w:firstLine="643" w:firstLineChars="200"/>
        <w:jc w:val="center"/>
        <w:rPr>
          <w:rFonts w:ascii="仿宋_GB2312" w:hAnsi="宋体" w:eastAsia="仿宋_GB2312"/>
          <w:b/>
          <w:sz w:val="32"/>
          <w:szCs w:val="32"/>
        </w:rPr>
      </w:pPr>
    </w:p>
    <w:p>
      <w:pPr>
        <w:spacing w:line="56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第一章 总 则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第一条 </w:t>
      </w:r>
      <w:r>
        <w:rPr>
          <w:rFonts w:hint="eastAsia" w:ascii="仿宋_GB2312" w:hAnsi="宋体" w:eastAsia="仿宋_GB2312"/>
          <w:sz w:val="32"/>
          <w:szCs w:val="32"/>
        </w:rPr>
        <w:t>为促进我校教师深入研究课程教学，强化教学设计能力，提高课堂教学效果和教师的教学水平，加快教师队伍建设，同时为广大教师搭建互相交流、学习和展示教学风采的平台，学校决定定期开展教师说课大赛活动。为保证大赛的公正性、公平性，特制定本办法。</w:t>
      </w:r>
    </w:p>
    <w:p>
      <w:pPr>
        <w:spacing w:line="560" w:lineRule="exact"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第二章 组织机构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第二条</w:t>
      </w:r>
      <w:r>
        <w:rPr>
          <w:rFonts w:hint="eastAsia" w:ascii="仿宋_GB2312" w:hAnsi="宋体" w:eastAsia="仿宋_GB2312"/>
          <w:sz w:val="32"/>
          <w:szCs w:val="32"/>
        </w:rPr>
        <w:t xml:space="preserve"> 讲课大赛由教务处举办。学校成立由主管教学校长为主任，教务处处长、教学监督保障处处长、教学经验丰富的专家、教授为委员的说课大赛评委会，负责说课大赛的评奖工作。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第三条</w:t>
      </w:r>
      <w:r>
        <w:rPr>
          <w:rFonts w:hint="eastAsia" w:ascii="仿宋_GB2312" w:hAnsi="宋体" w:eastAsia="仿宋_GB2312"/>
          <w:sz w:val="32"/>
          <w:szCs w:val="32"/>
        </w:rPr>
        <w:t xml:space="preserve"> 各学院（部）成立由教学院长（部主任）任组长，专家、教授组成的说课大赛工作小组，负责申报、业务考核及推荐工作。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第四条</w:t>
      </w:r>
      <w:r>
        <w:rPr>
          <w:rFonts w:hint="eastAsia" w:ascii="仿宋_GB2312" w:hAnsi="宋体" w:eastAsia="仿宋_GB2312"/>
          <w:sz w:val="32"/>
          <w:szCs w:val="32"/>
        </w:rPr>
        <w:t xml:space="preserve"> 说课大赛工作办公室设在教务处。</w:t>
      </w:r>
    </w:p>
    <w:p>
      <w:pPr>
        <w:spacing w:line="560" w:lineRule="exact"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第三章 参赛条件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第五条</w:t>
      </w:r>
      <w:r>
        <w:rPr>
          <w:rFonts w:hint="eastAsia" w:ascii="仿宋_GB2312" w:hAnsi="宋体" w:eastAsia="仿宋_GB2312"/>
          <w:kern w:val="0"/>
          <w:sz w:val="32"/>
          <w:szCs w:val="32"/>
        </w:rPr>
        <w:t xml:space="preserve"> 参赛教师应为我校教学一线专职专任教师，具有一年以上教龄。坚决拥护党的路线、方针和政策，坚持四项基本原则，全面贯彻党的教育方针，忠诚党的教育事业，师德高尚，为人师表，教书育人。教学水平高、讲课思路清晰、教学语言精炼、教学方法先进、教学效果受到师生好评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kern w:val="0"/>
          <w:sz w:val="32"/>
          <w:szCs w:val="32"/>
        </w:rPr>
        <w:t>第六条</w:t>
      </w:r>
      <w:r>
        <w:rPr>
          <w:rFonts w:hint="eastAsia" w:ascii="仿宋_GB2312" w:hAnsi="宋体" w:eastAsia="仿宋_GB2312"/>
          <w:kern w:val="0"/>
          <w:sz w:val="32"/>
          <w:szCs w:val="32"/>
        </w:rPr>
        <w:t xml:space="preserve"> 参赛内容需为参赛教师本人主讲的一门课程，且主讲一轮（含一轮）以上，课程性质和学分、学时不限。</w:t>
      </w:r>
    </w:p>
    <w:p>
      <w:pPr>
        <w:spacing w:line="560" w:lineRule="exact"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第四章 大赛程序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第七条</w:t>
      </w:r>
      <w:r>
        <w:rPr>
          <w:rFonts w:hint="eastAsia" w:ascii="仿宋_GB2312" w:hAnsi="宋体" w:eastAsia="仿宋_GB2312"/>
          <w:sz w:val="32"/>
          <w:szCs w:val="32"/>
        </w:rPr>
        <w:t xml:space="preserve"> 长春建筑学院教师说课大赛一般每两年举办一次。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第八条 </w:t>
      </w:r>
      <w:r>
        <w:rPr>
          <w:rFonts w:hint="eastAsia" w:ascii="仿宋_GB2312" w:hAnsi="宋体" w:eastAsia="仿宋_GB2312"/>
          <w:sz w:val="32"/>
          <w:szCs w:val="32"/>
        </w:rPr>
        <w:t>各学院（部）综合考虑学生评教和日常教学质量跟踪的情况，或进行预赛选拔，推荐符合参赛资格和条件的教师参加学校决赛，并组成团体赛队伍。推荐参加学校决赛的名额由学校根据各单位教师比例确定。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第九条 </w:t>
      </w:r>
      <w:r>
        <w:rPr>
          <w:rFonts w:hint="eastAsia" w:ascii="仿宋_GB2312" w:hAnsi="宋体" w:eastAsia="仿宋_GB2312"/>
          <w:sz w:val="32"/>
          <w:szCs w:val="32"/>
        </w:rPr>
        <w:t>参加学校决赛的教师填写《长春建筑学院教师说课大赛申报表》，并由学院（部）填写《长春建筑学院教师说课大赛推荐汇总表》。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第十条 </w:t>
      </w:r>
      <w:r>
        <w:rPr>
          <w:rFonts w:hint="eastAsia" w:ascii="仿宋_GB2312" w:hAnsi="宋体" w:eastAsia="仿宋_GB2312"/>
          <w:sz w:val="32"/>
          <w:szCs w:val="32"/>
        </w:rPr>
        <w:t>教务处对各学院（部）的申报材料进行审核，确定参加学校决赛的人员，并安排决赛的具体日程和分组。</w:t>
      </w:r>
    </w:p>
    <w:p>
      <w:pPr>
        <w:spacing w:line="560" w:lineRule="exact"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第五章 大赛内容、评比标准及评奖规则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第十一条</w:t>
      </w:r>
      <w:r>
        <w:rPr>
          <w:rFonts w:hint="eastAsia" w:ascii="仿宋_GB2312" w:hAnsi="宋体" w:eastAsia="仿宋_GB2312"/>
          <w:sz w:val="32"/>
          <w:szCs w:val="32"/>
        </w:rPr>
        <w:t xml:space="preserve"> 决赛分网评和现场说课（现场说课时长为15分钟）两个环节。网评环节侧重考察课程教学设计文本、PPT和辅助资源建设，以及以往课程实施的效果；现场说课环节侧重考察教师基于课程定位、学生学习目标和以往教学反思而进行的课程整体设计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参赛教师需要通过学校指定的网络平台创建参赛课程，上传课程资料，主要包括该门课程教学大纲、教学设计文本、课程PPT、参赛报名表、现场说课PPT等资料。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现场说课时长为15分钟，说课内容具体如下：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1.说课程:说明课程的性质和定位，主要阐述课程性质与作用、课程教学目标、课程设计理念与思路。教学目标体现多个维度，即除知识性目标外，涵盖技能性目标和情感、态度、价值塑造等情意性目标。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2.说教材:说明本课程选用教材情况及课程资源建设情况。对教材内容的理解、分析和处理，重、难点的确定和解决。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3.说教法:说明本课程的教学模式设计，教学方法及教学手段选择与运用，根据教材的特点、学生的实际、教师的特长及教学设备的情况，说明选择某种方法和手段的依据，鼓励教法创新。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4.说学法:分析学情，如学生的原有基础，学习本课程的有力因素和存在的问题。根据教学目标、学习方法、教材特点及学生特点，阐述学习方法，以及如何提高学生的学习兴趣，提高学生实践能力。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5.说教学过程:主要介绍课堂结构设计，即各个教学环节的实施过程。主要阐述展开的逻辑顺序、主要环节、过渡街接及时间安排。教学层次清楚，结构完整，内容与教法相对应。介绍板书设计。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6.说考核标准:阐述课程考核采用何种方式进行，采用这种方式的优点以及根据课程考核结果，如何对学生学习效果进行总体评价。</w:t>
      </w:r>
    </w:p>
    <w:p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7.说教学反思。本课程的成功经验和教学效果,不足之处和改进方法。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第十二条 </w:t>
      </w:r>
      <w:r>
        <w:rPr>
          <w:rFonts w:hint="eastAsia" w:ascii="仿宋_GB2312" w:hAnsi="宋体" w:eastAsia="仿宋_GB2312"/>
          <w:sz w:val="32"/>
          <w:szCs w:val="32"/>
        </w:rPr>
        <w:t>大赛成绩采用百分制，评委根据《长春建筑学院教师说课大赛评价标准》分别为参赛选手网评、现场说课环节打分，分数在85分至100分之间。网评得分和现场说课得分均按照各位评委给分去掉一个最高分，去掉一个最低分后，其余给分取平均分计算。选手最终成绩=网评成绩×50%+现场说课成绩×50%，按成绩高低进行排名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第十三条 </w:t>
      </w:r>
      <w:r>
        <w:rPr>
          <w:rFonts w:hint="eastAsia" w:ascii="仿宋_GB2312" w:hAnsi="宋体" w:eastAsia="仿宋_GB2312"/>
          <w:sz w:val="32"/>
          <w:szCs w:val="32"/>
        </w:rPr>
        <w:t>说课大赛设立个人一等奖、二等奖、三等奖和优秀奖，其中一等奖、二等奖、三等奖的比例分别为参加学校决赛教师人数的10%、20%、30%。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第十四条</w:t>
      </w:r>
      <w:r>
        <w:rPr>
          <w:rFonts w:hint="eastAsia" w:ascii="仿宋_GB2312" w:hAnsi="宋体" w:eastAsia="仿宋_GB2312"/>
          <w:sz w:val="32"/>
          <w:szCs w:val="32"/>
        </w:rPr>
        <w:t xml:space="preserve"> 说课大赛设立团体奖一等奖1名、二等奖1名。</w:t>
      </w:r>
    </w:p>
    <w:p>
      <w:pPr>
        <w:spacing w:line="560" w:lineRule="exact"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第六章 奖励办法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第十五条</w:t>
      </w:r>
      <w:r>
        <w:rPr>
          <w:rFonts w:hint="eastAsia" w:ascii="仿宋_GB2312" w:hAnsi="宋体" w:eastAsia="仿宋_GB2312"/>
          <w:sz w:val="32"/>
          <w:szCs w:val="32"/>
        </w:rPr>
        <w:t xml:space="preserve"> 学校为获奖教师颁发获奖证书予以表彰并颁发奖金予以鼓励。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 xml:space="preserve">第十六条 </w:t>
      </w:r>
      <w:r>
        <w:rPr>
          <w:rFonts w:hint="eastAsia" w:ascii="仿宋_GB2312" w:hAnsi="宋体" w:eastAsia="仿宋_GB2312"/>
          <w:sz w:val="32"/>
          <w:szCs w:val="32"/>
        </w:rPr>
        <w:t>学校为获团体奖的单位颁发证书予以表彰。</w:t>
      </w:r>
    </w:p>
    <w:p>
      <w:pPr>
        <w:spacing w:line="560" w:lineRule="exact"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第七章 附 则</w:t>
      </w:r>
    </w:p>
    <w:p>
      <w:pPr>
        <w:spacing w:line="560" w:lineRule="exact"/>
        <w:ind w:firstLine="643" w:firstLineChars="200"/>
        <w:rPr>
          <w:rFonts w:ascii="仿宋_GB2312" w:hAnsi="宋体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第十七条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  <w:r>
        <w:rPr>
          <w:rFonts w:hint="eastAsia" w:ascii="仿宋_GB2312" w:hAnsi="宋体" w:eastAsia="仿宋_GB2312"/>
          <w:kern w:val="0"/>
          <w:sz w:val="32"/>
          <w:szCs w:val="32"/>
        </w:rPr>
        <w:t>本办法自公布之日起实施。</w:t>
      </w:r>
    </w:p>
    <w:p>
      <w:pPr>
        <w:spacing w:line="560" w:lineRule="exact"/>
        <w:ind w:firstLine="643" w:firstLineChars="200"/>
        <w:rPr>
          <w:sz w:val="28"/>
          <w:szCs w:val="28"/>
        </w:rPr>
      </w:pPr>
      <w:r>
        <w:rPr>
          <w:rFonts w:hint="eastAsia" w:ascii="仿宋_GB2312" w:hAnsi="宋体" w:eastAsia="仿宋_GB2312" w:cs="宋体"/>
          <w:b/>
          <w:kern w:val="0"/>
          <w:sz w:val="32"/>
          <w:szCs w:val="32"/>
        </w:rPr>
        <w:t xml:space="preserve">第十八条 </w:t>
      </w:r>
      <w:r>
        <w:rPr>
          <w:rFonts w:hint="eastAsia" w:ascii="仿宋_GB2312" w:hAnsi="宋体" w:eastAsia="仿宋_GB2312"/>
          <w:kern w:val="0"/>
          <w:sz w:val="32"/>
          <w:szCs w:val="32"/>
        </w:rPr>
        <w:t>本办法由教务处负责解释。</w:t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8170374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307AB9"/>
    <w:multiLevelType w:val="singleLevel"/>
    <w:tmpl w:val="EF307AB9"/>
    <w:lvl w:ilvl="0" w:tentative="0">
      <w:start w:val="12"/>
      <w:numFmt w:val="decimal"/>
      <w:suff w:val="nothing"/>
      <w:lvlText w:val="%1、"/>
      <w:lvlJc w:val="left"/>
    </w:lvl>
  </w:abstractNum>
  <w:abstractNum w:abstractNumId="1">
    <w:nsid w:val="2E21D14F"/>
    <w:multiLevelType w:val="singleLevel"/>
    <w:tmpl w:val="2E21D14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8B"/>
    <w:rsid w:val="00033F4E"/>
    <w:rsid w:val="0005048E"/>
    <w:rsid w:val="000675D6"/>
    <w:rsid w:val="00092087"/>
    <w:rsid w:val="000E690F"/>
    <w:rsid w:val="00123094"/>
    <w:rsid w:val="00132D74"/>
    <w:rsid w:val="00140773"/>
    <w:rsid w:val="001847C9"/>
    <w:rsid w:val="001D34B2"/>
    <w:rsid w:val="001F1EFB"/>
    <w:rsid w:val="001F4AC8"/>
    <w:rsid w:val="001F6CE0"/>
    <w:rsid w:val="00205BC4"/>
    <w:rsid w:val="00224916"/>
    <w:rsid w:val="002359E3"/>
    <w:rsid w:val="00235B91"/>
    <w:rsid w:val="0025436B"/>
    <w:rsid w:val="002B5920"/>
    <w:rsid w:val="002F0207"/>
    <w:rsid w:val="002F64DC"/>
    <w:rsid w:val="003121DA"/>
    <w:rsid w:val="00336B85"/>
    <w:rsid w:val="003507CD"/>
    <w:rsid w:val="003711C8"/>
    <w:rsid w:val="00375FB8"/>
    <w:rsid w:val="003928B1"/>
    <w:rsid w:val="003937F7"/>
    <w:rsid w:val="00397CA5"/>
    <w:rsid w:val="003C680C"/>
    <w:rsid w:val="003E4238"/>
    <w:rsid w:val="00414161"/>
    <w:rsid w:val="004230DB"/>
    <w:rsid w:val="00426FAD"/>
    <w:rsid w:val="00443DC8"/>
    <w:rsid w:val="004700FC"/>
    <w:rsid w:val="00470448"/>
    <w:rsid w:val="004D7143"/>
    <w:rsid w:val="004E6A92"/>
    <w:rsid w:val="00511619"/>
    <w:rsid w:val="005224F7"/>
    <w:rsid w:val="00524419"/>
    <w:rsid w:val="00552693"/>
    <w:rsid w:val="0058768B"/>
    <w:rsid w:val="005B0037"/>
    <w:rsid w:val="005B44BE"/>
    <w:rsid w:val="005B7FC2"/>
    <w:rsid w:val="005F71C7"/>
    <w:rsid w:val="00602ED0"/>
    <w:rsid w:val="006508BF"/>
    <w:rsid w:val="00674F69"/>
    <w:rsid w:val="006906FC"/>
    <w:rsid w:val="007407C0"/>
    <w:rsid w:val="00751F1D"/>
    <w:rsid w:val="00757EED"/>
    <w:rsid w:val="00793AFF"/>
    <w:rsid w:val="007A2225"/>
    <w:rsid w:val="007D52AD"/>
    <w:rsid w:val="007D7697"/>
    <w:rsid w:val="007E0FB1"/>
    <w:rsid w:val="0080570A"/>
    <w:rsid w:val="00807B20"/>
    <w:rsid w:val="00814F98"/>
    <w:rsid w:val="008158DD"/>
    <w:rsid w:val="008249D8"/>
    <w:rsid w:val="008516A9"/>
    <w:rsid w:val="0086190C"/>
    <w:rsid w:val="0088010F"/>
    <w:rsid w:val="008C1FC7"/>
    <w:rsid w:val="008E0071"/>
    <w:rsid w:val="00902E5C"/>
    <w:rsid w:val="00923CB7"/>
    <w:rsid w:val="00936FC8"/>
    <w:rsid w:val="00957238"/>
    <w:rsid w:val="00966302"/>
    <w:rsid w:val="009836FF"/>
    <w:rsid w:val="009C746D"/>
    <w:rsid w:val="00A1652E"/>
    <w:rsid w:val="00A30CC2"/>
    <w:rsid w:val="00A35EDB"/>
    <w:rsid w:val="00A81CEC"/>
    <w:rsid w:val="00A9018F"/>
    <w:rsid w:val="00A96298"/>
    <w:rsid w:val="00AA49A5"/>
    <w:rsid w:val="00B02767"/>
    <w:rsid w:val="00B0442F"/>
    <w:rsid w:val="00B53B55"/>
    <w:rsid w:val="00B720A7"/>
    <w:rsid w:val="00B904C4"/>
    <w:rsid w:val="00BF740B"/>
    <w:rsid w:val="00C61F06"/>
    <w:rsid w:val="00CB73EA"/>
    <w:rsid w:val="00CC47C9"/>
    <w:rsid w:val="00CC6C21"/>
    <w:rsid w:val="00CC7589"/>
    <w:rsid w:val="00CD1148"/>
    <w:rsid w:val="00D13922"/>
    <w:rsid w:val="00D21B8F"/>
    <w:rsid w:val="00D45F98"/>
    <w:rsid w:val="00DB5A9D"/>
    <w:rsid w:val="00DB6038"/>
    <w:rsid w:val="00DF168C"/>
    <w:rsid w:val="00E15755"/>
    <w:rsid w:val="00E654BB"/>
    <w:rsid w:val="00E85358"/>
    <w:rsid w:val="00E909A4"/>
    <w:rsid w:val="00E95D08"/>
    <w:rsid w:val="00EB5236"/>
    <w:rsid w:val="00EC54B2"/>
    <w:rsid w:val="00EF4025"/>
    <w:rsid w:val="00EF6DF9"/>
    <w:rsid w:val="00F16554"/>
    <w:rsid w:val="00F31173"/>
    <w:rsid w:val="00F35D27"/>
    <w:rsid w:val="00F965EA"/>
    <w:rsid w:val="00FA5A12"/>
    <w:rsid w:val="00FC0437"/>
    <w:rsid w:val="00FE1F0E"/>
    <w:rsid w:val="00FF25EA"/>
    <w:rsid w:val="021F0E53"/>
    <w:rsid w:val="0301672C"/>
    <w:rsid w:val="08D20A9B"/>
    <w:rsid w:val="0CFA02FD"/>
    <w:rsid w:val="0E806A46"/>
    <w:rsid w:val="30D2460A"/>
    <w:rsid w:val="31C1362C"/>
    <w:rsid w:val="34C26938"/>
    <w:rsid w:val="4A170B99"/>
    <w:rsid w:val="55EC487B"/>
    <w:rsid w:val="640F2544"/>
    <w:rsid w:val="6470256E"/>
    <w:rsid w:val="6BE51533"/>
    <w:rsid w:val="6C6B1E55"/>
    <w:rsid w:val="768F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qFormat/>
    <w:uiPriority w:val="0"/>
    <w:pPr>
      <w:jc w:val="left"/>
    </w:pPr>
    <w:rPr>
      <w:rFonts w:ascii="Calibri" w:hAnsi="Calibri" w:cs="宋体"/>
      <w:szCs w:val="22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character" w:styleId="8">
    <w:name w:val="FollowedHyperlink"/>
    <w:qFormat/>
    <w:uiPriority w:val="0"/>
    <w:rPr>
      <w:color w:val="800080"/>
      <w:u w:val="single"/>
    </w:rPr>
  </w:style>
  <w:style w:type="character" w:styleId="9">
    <w:name w:val="Hyperlink"/>
    <w:uiPriority w:val="0"/>
    <w:rPr>
      <w:color w:val="0563C1"/>
      <w:u w:val="single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正文 + ˎ̥ Char"/>
    <w:link w:val="13"/>
    <w:qFormat/>
    <w:uiPriority w:val="0"/>
    <w:rPr>
      <w:rFonts w:eastAsia="宋体"/>
      <w:color w:val="000000"/>
      <w:sz w:val="24"/>
      <w:lang w:val="en-US" w:eastAsia="zh-CN" w:bidi="ar-SA"/>
    </w:rPr>
  </w:style>
  <w:style w:type="paragraph" w:customStyle="1" w:styleId="13">
    <w:name w:val="正文 + ˎ̥"/>
    <w:basedOn w:val="1"/>
    <w:link w:val="12"/>
    <w:qFormat/>
    <w:uiPriority w:val="0"/>
    <w:pPr>
      <w:widowControl/>
      <w:spacing w:line="340" w:lineRule="exact"/>
      <w:ind w:firstLine="480" w:firstLineChars="200"/>
      <w:jc w:val="left"/>
    </w:pPr>
    <w:rPr>
      <w:color w:val="000000"/>
      <w:kern w:val="0"/>
      <w:sz w:val="24"/>
      <w:szCs w:val="20"/>
    </w:rPr>
  </w:style>
  <w:style w:type="paragraph" w:customStyle="1" w:styleId="14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5">
    <w:name w:val="批注文字 Char"/>
    <w:basedOn w:val="7"/>
    <w:link w:val="2"/>
    <w:qFormat/>
    <w:uiPriority w:val="0"/>
    <w:rPr>
      <w:rFonts w:ascii="Calibri" w:hAnsi="Calibri" w:cs="宋体"/>
      <w:kern w:val="2"/>
      <w:sz w:val="21"/>
      <w:szCs w:val="22"/>
    </w:rPr>
  </w:style>
  <w:style w:type="character" w:customStyle="1" w:styleId="16">
    <w:name w:val="页脚 Char"/>
    <w:basedOn w:val="7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boc</Company>
  <Pages>28</Pages>
  <Words>1159</Words>
  <Characters>6612</Characters>
  <Lines>55</Lines>
  <Paragraphs>15</Paragraphs>
  <TotalTime>8</TotalTime>
  <ScaleCrop>false</ScaleCrop>
  <LinksUpToDate>false</LinksUpToDate>
  <CharactersWithSpaces>7756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2016-09-22T06:19:00Z</dcterms:created>
  <dc:creator>hh</dc:creator>
  <cp:lastModifiedBy>Cookie</cp:lastModifiedBy>
  <cp:lastPrinted>2018-11-29T01:45:00Z</cp:lastPrinted>
  <dcterms:modified xsi:type="dcterms:W3CDTF">2018-12-18T02:37:24Z</dcterms:modified>
  <dc:title>关于举办2012年青年教师讲课比赛的通知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